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7"/>
        <w:pBdr>
          <w:bottom w:val="none" w:color="auto" w:sz="0" w:space="0"/>
        </w:pBdr>
        <w:jc w:val="center"/>
        <w:rPr>
          <w:b/>
          <w:sz w:val="44"/>
          <w:szCs w:val="44"/>
        </w:rPr>
      </w:pPr>
      <w:bookmarkStart w:id="98" w:name="_GoBack"/>
      <w:bookmarkEnd w:id="98"/>
    </w:p>
    <w:p>
      <w:pPr>
        <w:pStyle w:val="37"/>
        <w:pBdr>
          <w:bottom w:val="none" w:color="auto" w:sz="0" w:space="0"/>
        </w:pBdr>
        <w:jc w:val="center"/>
        <w:rPr>
          <w:b/>
          <w:sz w:val="44"/>
          <w:szCs w:val="44"/>
        </w:rPr>
      </w:pPr>
    </w:p>
    <w:p>
      <w:pPr>
        <w:pStyle w:val="37"/>
        <w:pBdr>
          <w:bottom w:val="none" w:color="auto" w:sz="0" w:space="0"/>
        </w:pBdr>
        <w:jc w:val="center"/>
        <w:rPr>
          <w:b/>
          <w:sz w:val="44"/>
          <w:szCs w:val="44"/>
        </w:rPr>
      </w:pPr>
    </w:p>
    <w:p>
      <w:pPr>
        <w:pStyle w:val="37"/>
        <w:pBdr>
          <w:bottom w:val="none" w:color="auto" w:sz="0" w:space="0"/>
        </w:pBdr>
        <w:jc w:val="center"/>
        <w:rPr>
          <w:b/>
          <w:sz w:val="44"/>
          <w:szCs w:val="44"/>
        </w:rPr>
      </w:pPr>
    </w:p>
    <w:p>
      <w:pPr>
        <w:pStyle w:val="37"/>
        <w:pBdr>
          <w:bottom w:val="none" w:color="auto" w:sz="0" w:space="0"/>
        </w:pBdr>
        <w:jc w:val="center"/>
        <w:rPr>
          <w:b/>
          <w:sz w:val="44"/>
          <w:szCs w:val="44"/>
        </w:rPr>
      </w:pPr>
    </w:p>
    <w:p>
      <w:pPr>
        <w:pStyle w:val="37"/>
        <w:pBdr>
          <w:bottom w:val="none" w:color="auto" w:sz="0" w:space="0"/>
        </w:pBdr>
        <w:jc w:val="center"/>
        <w:rPr>
          <w:b/>
          <w:sz w:val="52"/>
          <w:szCs w:val="52"/>
        </w:rPr>
      </w:pPr>
      <w:r>
        <w:rPr>
          <w:rFonts w:hint="eastAsia"/>
          <w:b/>
          <w:sz w:val="52"/>
          <w:szCs w:val="52"/>
        </w:rPr>
        <w:t>河源市公共资源交易中心</w:t>
      </w:r>
    </w:p>
    <w:p>
      <w:pPr>
        <w:pStyle w:val="37"/>
        <w:pBdr>
          <w:bottom w:val="none" w:color="auto" w:sz="0" w:space="0"/>
        </w:pBdr>
        <w:jc w:val="center"/>
        <w:rPr>
          <w:b/>
          <w:sz w:val="48"/>
          <w:szCs w:val="48"/>
        </w:rPr>
      </w:pPr>
    </w:p>
    <w:p>
      <w:pPr>
        <w:pStyle w:val="37"/>
        <w:pBdr>
          <w:bottom w:val="none" w:color="auto" w:sz="0" w:space="0"/>
        </w:pBdr>
        <w:jc w:val="center"/>
        <w:rPr>
          <w:b/>
          <w:sz w:val="44"/>
          <w:szCs w:val="44"/>
        </w:rPr>
      </w:pPr>
      <w:r>
        <w:rPr>
          <w:rFonts w:hint="eastAsia"/>
          <w:b/>
          <w:sz w:val="44"/>
          <w:szCs w:val="44"/>
        </w:rPr>
        <w:t>国土资源网上交易系统</w:t>
      </w:r>
    </w:p>
    <w:p>
      <w:pPr>
        <w:pStyle w:val="37"/>
        <w:pBdr>
          <w:bottom w:val="none" w:color="auto" w:sz="0" w:space="0"/>
        </w:pBdr>
        <w:jc w:val="center"/>
        <w:rPr>
          <w:b/>
          <w:sz w:val="48"/>
          <w:szCs w:val="48"/>
        </w:rPr>
      </w:pPr>
    </w:p>
    <w:p>
      <w:pPr>
        <w:pStyle w:val="37"/>
        <w:pBdr>
          <w:bottom w:val="none" w:color="auto" w:sz="0" w:space="0"/>
        </w:pBdr>
        <w:jc w:val="center"/>
        <w:rPr>
          <w:b/>
          <w:sz w:val="48"/>
          <w:szCs w:val="48"/>
        </w:rPr>
      </w:pPr>
    </w:p>
    <w:p>
      <w:pPr>
        <w:pStyle w:val="37"/>
        <w:pBdr>
          <w:bottom w:val="none" w:color="auto" w:sz="0" w:space="0"/>
        </w:pBdr>
        <w:ind w:firstLine="2100" w:firstLineChars="700"/>
        <w:jc w:val="both"/>
        <w:rPr>
          <w:sz w:val="30"/>
          <w:szCs w:val="30"/>
        </w:rPr>
      </w:pPr>
      <w:r>
        <w:rPr>
          <w:rFonts w:hint="eastAsia"/>
          <w:sz w:val="30"/>
          <w:szCs w:val="30"/>
        </w:rPr>
        <w:t>模块内容：</w:t>
      </w:r>
      <w:r>
        <w:rPr>
          <w:rFonts w:hint="eastAsia"/>
          <w:sz w:val="30"/>
          <w:szCs w:val="30"/>
          <w:u w:val="single"/>
        </w:rPr>
        <w:t>　竞买人　　</w:t>
      </w:r>
    </w:p>
    <w:p>
      <w:pPr>
        <w:pStyle w:val="37"/>
        <w:pBdr>
          <w:bottom w:val="none" w:color="auto" w:sz="0" w:space="0"/>
        </w:pBdr>
        <w:ind w:firstLine="2100" w:firstLineChars="700"/>
        <w:jc w:val="both"/>
        <w:rPr>
          <w:sz w:val="30"/>
          <w:szCs w:val="30"/>
          <w:u w:val="single"/>
        </w:rPr>
      </w:pPr>
      <w:r>
        <w:rPr>
          <w:rFonts w:hint="eastAsia"/>
          <w:sz w:val="30"/>
          <w:szCs w:val="30"/>
        </w:rPr>
        <w:t>实施公司：</w:t>
      </w:r>
      <w:r>
        <w:rPr>
          <w:rFonts w:hint="eastAsia"/>
          <w:sz w:val="30"/>
          <w:szCs w:val="30"/>
          <w:u w:val="single"/>
        </w:rPr>
        <w:t>深圳市壹平台信息技术有限公司</w:t>
      </w:r>
    </w:p>
    <w:p>
      <w:pPr>
        <w:pStyle w:val="37"/>
        <w:pBdr>
          <w:bottom w:val="none" w:color="auto" w:sz="0" w:space="0"/>
        </w:pBdr>
        <w:ind w:firstLine="2100" w:firstLineChars="700"/>
        <w:jc w:val="both"/>
        <w:rPr>
          <w:sz w:val="30"/>
          <w:szCs w:val="30"/>
        </w:rPr>
      </w:pPr>
      <w:r>
        <w:rPr>
          <w:rFonts w:hint="eastAsia"/>
          <w:sz w:val="30"/>
          <w:szCs w:val="30"/>
        </w:rPr>
        <w:t>编写时间：</w:t>
      </w:r>
      <w:r>
        <w:rPr>
          <w:sz w:val="30"/>
          <w:szCs w:val="30"/>
          <w:u w:val="single"/>
        </w:rPr>
        <w:t>2017/8/2</w:t>
      </w:r>
      <w:r>
        <w:rPr>
          <w:rFonts w:hint="eastAsia"/>
          <w:sz w:val="30"/>
          <w:szCs w:val="30"/>
          <w:u w:val="single"/>
        </w:rPr>
        <w:t>4　</w:t>
      </w:r>
    </w:p>
    <w:p>
      <w:pPr>
        <w:pStyle w:val="37"/>
        <w:pBdr>
          <w:bottom w:val="none" w:color="auto" w:sz="0" w:space="0"/>
        </w:pBdr>
        <w:jc w:val="center"/>
        <w:rPr>
          <w:b/>
          <w:sz w:val="48"/>
          <w:szCs w:val="48"/>
        </w:rPr>
      </w:pPr>
    </w:p>
    <w:p>
      <w:pPr>
        <w:spacing w:line="360" w:lineRule="auto"/>
        <w:jc w:val="center"/>
        <w:rPr>
          <w:rFonts w:ascii="宋体" w:hAnsi="宋体" w:eastAsia="宋体"/>
          <w:b/>
          <w:sz w:val="32"/>
        </w:rPr>
      </w:pPr>
    </w:p>
    <w:p>
      <w:pPr>
        <w:spacing w:line="360" w:lineRule="auto"/>
        <w:jc w:val="center"/>
        <w:rPr>
          <w:rFonts w:ascii="宋体" w:hAnsi="宋体" w:eastAsia="宋体"/>
          <w:b/>
          <w:sz w:val="32"/>
        </w:rPr>
      </w:pPr>
    </w:p>
    <w:p>
      <w:pPr>
        <w:snapToGrid w:val="0"/>
        <w:spacing w:line="360" w:lineRule="auto"/>
        <w:jc w:val="center"/>
        <w:rPr>
          <w:rFonts w:ascii="宋体" w:hAnsi="宋体" w:eastAsia="宋体"/>
          <w:b/>
          <w:sz w:val="32"/>
        </w:rPr>
      </w:pPr>
    </w:p>
    <w:p>
      <w:pPr>
        <w:snapToGrid w:val="0"/>
        <w:spacing w:line="360" w:lineRule="auto"/>
        <w:jc w:val="center"/>
        <w:rPr>
          <w:rFonts w:ascii="宋体" w:hAnsi="宋体" w:eastAsia="宋体"/>
          <w:b/>
          <w:sz w:val="32"/>
        </w:rPr>
      </w:pPr>
    </w:p>
    <w:p>
      <w:pPr>
        <w:snapToGrid w:val="0"/>
        <w:spacing w:line="360" w:lineRule="auto"/>
        <w:jc w:val="center"/>
        <w:rPr>
          <w:rFonts w:ascii="宋体" w:hAnsi="宋体" w:eastAsia="宋体"/>
          <w:b/>
          <w:szCs w:val="21"/>
        </w:rPr>
      </w:pPr>
    </w:p>
    <w:p>
      <w:pPr>
        <w:snapToGrid w:val="0"/>
        <w:spacing w:line="360" w:lineRule="auto"/>
        <w:jc w:val="center"/>
        <w:rPr>
          <w:rFonts w:ascii="宋体" w:hAnsi="宋体" w:eastAsia="宋体"/>
          <w:b/>
          <w:szCs w:val="21"/>
        </w:rPr>
      </w:pPr>
      <w:r>
        <w:rPr>
          <w:rFonts w:ascii="宋体" w:hAnsi="宋体" w:eastAsia="宋体"/>
        </w:rPr>
        <w:drawing>
          <wp:inline distT="0" distB="0" distL="0" distR="0">
            <wp:extent cx="974725" cy="66421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974725" cy="664210"/>
                    </a:xfrm>
                    <a:prstGeom prst="rect">
                      <a:avLst/>
                    </a:prstGeom>
                    <a:noFill/>
                    <a:ln>
                      <a:noFill/>
                    </a:ln>
                  </pic:spPr>
                </pic:pic>
              </a:graphicData>
            </a:graphic>
          </wp:inline>
        </w:drawing>
      </w:r>
    </w:p>
    <w:p>
      <w:pPr>
        <w:pStyle w:val="13"/>
        <w:tabs>
          <w:tab w:val="left" w:pos="0"/>
          <w:tab w:val="left" w:pos="5400"/>
        </w:tabs>
        <w:snapToGrid w:val="0"/>
        <w:ind w:left="0"/>
        <w:jc w:val="center"/>
        <w:rPr>
          <w:rFonts w:ascii="宋体" w:hAnsi="宋体"/>
          <w:b w:val="0"/>
          <w:szCs w:val="28"/>
        </w:rPr>
      </w:pPr>
      <w:r>
        <w:rPr>
          <w:rFonts w:hint="eastAsia" w:ascii="宋体" w:hAnsi="宋体"/>
          <w:b w:val="0"/>
          <w:szCs w:val="28"/>
        </w:rPr>
        <w:t>深圳市壹平台信息技术有限公司</w:t>
      </w:r>
    </w:p>
    <w:p>
      <w:pPr>
        <w:pStyle w:val="17"/>
        <w:ind w:firstLine="3520" w:firstLineChars="1100"/>
        <w:rPr>
          <w:rFonts w:ascii="宋体" w:hAnsi="宋体"/>
          <w:sz w:val="32"/>
          <w:szCs w:val="32"/>
        </w:rPr>
      </w:pPr>
      <w:bookmarkStart w:id="0" w:name="_Toc415768566"/>
      <w:bookmarkStart w:id="1" w:name="_Toc415644668"/>
      <w:bookmarkStart w:id="2" w:name="_Toc415663514"/>
      <w:bookmarkStart w:id="3" w:name="_Toc384993281"/>
      <w:r>
        <w:rPr>
          <w:rFonts w:hint="eastAsia" w:ascii="宋体" w:hAnsi="宋体"/>
          <w:sz w:val="32"/>
          <w:szCs w:val="32"/>
        </w:rPr>
        <w:t>目 录</w:t>
      </w:r>
      <w:bookmarkEnd w:id="0"/>
      <w:bookmarkEnd w:id="1"/>
      <w:bookmarkEnd w:id="2"/>
      <w:bookmarkEnd w:id="3"/>
    </w:p>
    <w:p>
      <w:pPr>
        <w:pStyle w:val="17"/>
        <w:tabs>
          <w:tab w:val="right" w:leader="dot" w:pos="8306"/>
          <w:tab w:val="clear" w:pos="8296"/>
        </w:tabs>
      </w:pPr>
      <w:r>
        <w:rPr>
          <w:rFonts w:ascii="宋体" w:hAnsi="宋体"/>
          <w:b/>
          <w:bCs w:val="0"/>
          <w:caps w:val="0"/>
          <w:kern w:val="44"/>
          <w:sz w:val="32"/>
          <w:szCs w:val="32"/>
        </w:rPr>
        <w:fldChar w:fldCharType="begin"/>
      </w:r>
      <w:r>
        <w:rPr>
          <w:rFonts w:ascii="宋体" w:hAnsi="宋体"/>
          <w:b/>
          <w:bCs w:val="0"/>
          <w:caps w:val="0"/>
          <w:kern w:val="44"/>
          <w:sz w:val="32"/>
          <w:szCs w:val="32"/>
        </w:rPr>
        <w:instrText xml:space="preserve"> TOC \o "1-4" \h \z \u </w:instrText>
      </w:r>
      <w:r>
        <w:rPr>
          <w:rFonts w:ascii="宋体" w:hAnsi="宋体"/>
          <w:b/>
          <w:bCs w:val="0"/>
          <w:caps w:val="0"/>
          <w:kern w:val="44"/>
          <w:sz w:val="32"/>
          <w:szCs w:val="32"/>
        </w:rPr>
        <w:fldChar w:fldCharType="separate"/>
      </w:r>
      <w:r>
        <w:fldChar w:fldCharType="begin"/>
      </w:r>
      <w:r>
        <w:instrText xml:space="preserve"> HYPERLINK \l "_Toc2633" </w:instrText>
      </w:r>
      <w:r>
        <w:fldChar w:fldCharType="separate"/>
      </w:r>
      <w:r>
        <w:rPr>
          <w:rFonts w:hint="eastAsia"/>
        </w:rPr>
        <w:t>1、</w:t>
      </w:r>
      <w:r>
        <w:rPr>
          <w:rFonts w:hint="eastAsia" w:ascii="宋体" w:hAnsi="宋体"/>
          <w:szCs w:val="32"/>
        </w:rPr>
        <w:t>前言</w:t>
      </w:r>
      <w:r>
        <w:tab/>
      </w:r>
      <w:r>
        <w:fldChar w:fldCharType="begin"/>
      </w:r>
      <w:r>
        <w:instrText xml:space="preserve"> PAGEREF _Toc2633 </w:instrText>
      </w:r>
      <w:r>
        <w:fldChar w:fldCharType="separate"/>
      </w:r>
      <w:r>
        <w:t>4</w:t>
      </w:r>
      <w:r>
        <w:fldChar w:fldCharType="end"/>
      </w:r>
      <w:r>
        <w:fldChar w:fldCharType="end"/>
      </w:r>
    </w:p>
    <w:p>
      <w:pPr>
        <w:pStyle w:val="20"/>
        <w:tabs>
          <w:tab w:val="right" w:leader="dot" w:pos="8306"/>
        </w:tabs>
      </w:pPr>
      <w:r>
        <w:fldChar w:fldCharType="begin"/>
      </w:r>
      <w:r>
        <w:instrText xml:space="preserve"> HYPERLINK \l "_Toc28521" </w:instrText>
      </w:r>
      <w:r>
        <w:fldChar w:fldCharType="separate"/>
      </w:r>
      <w:r>
        <w:rPr>
          <w:rFonts w:hint="eastAsia"/>
        </w:rPr>
        <w:t>1.1　术语约定</w:t>
      </w:r>
      <w:r>
        <w:tab/>
      </w:r>
      <w:r>
        <w:fldChar w:fldCharType="begin"/>
      </w:r>
      <w:r>
        <w:instrText xml:space="preserve"> PAGEREF _Toc28521 </w:instrText>
      </w:r>
      <w:r>
        <w:fldChar w:fldCharType="separate"/>
      </w:r>
      <w:r>
        <w:t>4</w:t>
      </w:r>
      <w:r>
        <w:fldChar w:fldCharType="end"/>
      </w:r>
      <w:r>
        <w:fldChar w:fldCharType="end"/>
      </w:r>
    </w:p>
    <w:p>
      <w:pPr>
        <w:pStyle w:val="20"/>
        <w:tabs>
          <w:tab w:val="right" w:leader="dot" w:pos="8306"/>
        </w:tabs>
      </w:pPr>
      <w:r>
        <w:fldChar w:fldCharType="begin"/>
      </w:r>
      <w:r>
        <w:instrText xml:space="preserve"> HYPERLINK \l "_Toc22404" </w:instrText>
      </w:r>
      <w:r>
        <w:fldChar w:fldCharType="separate"/>
      </w:r>
      <w:r>
        <w:rPr>
          <w:rFonts w:hint="eastAsia"/>
          <w:szCs w:val="28"/>
        </w:rPr>
        <w:t>1.2　预期读者</w:t>
      </w:r>
      <w:r>
        <w:tab/>
      </w:r>
      <w:r>
        <w:fldChar w:fldCharType="begin"/>
      </w:r>
      <w:r>
        <w:instrText xml:space="preserve"> PAGEREF _Toc22404 </w:instrText>
      </w:r>
      <w:r>
        <w:fldChar w:fldCharType="separate"/>
      </w:r>
      <w:r>
        <w:t>5</w:t>
      </w:r>
      <w:r>
        <w:fldChar w:fldCharType="end"/>
      </w:r>
      <w:r>
        <w:fldChar w:fldCharType="end"/>
      </w:r>
    </w:p>
    <w:p>
      <w:pPr>
        <w:pStyle w:val="20"/>
        <w:tabs>
          <w:tab w:val="right" w:leader="dot" w:pos="8306"/>
        </w:tabs>
      </w:pPr>
      <w:r>
        <w:fldChar w:fldCharType="begin"/>
      </w:r>
      <w:r>
        <w:instrText xml:space="preserve"> HYPERLINK \l "_Toc31985" </w:instrText>
      </w:r>
      <w:r>
        <w:fldChar w:fldCharType="separate"/>
      </w:r>
      <w:r>
        <w:rPr>
          <w:rFonts w:hint="eastAsia"/>
          <w:szCs w:val="28"/>
        </w:rPr>
        <w:t>1.</w:t>
      </w:r>
      <w:r>
        <w:rPr>
          <w:rFonts w:hint="eastAsia"/>
        </w:rPr>
        <w:t>3</w:t>
      </w:r>
      <w:r>
        <w:rPr>
          <w:rFonts w:hint="eastAsia"/>
          <w:szCs w:val="28"/>
        </w:rPr>
        <w:t>　运行环境</w:t>
      </w:r>
      <w:r>
        <w:tab/>
      </w:r>
      <w:r>
        <w:fldChar w:fldCharType="begin"/>
      </w:r>
      <w:r>
        <w:instrText xml:space="preserve"> PAGEREF _Toc31985 </w:instrText>
      </w:r>
      <w:r>
        <w:fldChar w:fldCharType="separate"/>
      </w:r>
      <w:r>
        <w:t>5</w:t>
      </w:r>
      <w:r>
        <w:fldChar w:fldCharType="end"/>
      </w:r>
      <w:r>
        <w:fldChar w:fldCharType="end"/>
      </w:r>
    </w:p>
    <w:p>
      <w:pPr>
        <w:pStyle w:val="20"/>
        <w:tabs>
          <w:tab w:val="right" w:leader="dot" w:pos="8306"/>
        </w:tabs>
      </w:pPr>
      <w:r>
        <w:fldChar w:fldCharType="begin"/>
      </w:r>
      <w:r>
        <w:instrText xml:space="preserve"> HYPERLINK \l "_Toc18142" </w:instrText>
      </w:r>
      <w:r>
        <w:fldChar w:fldCharType="separate"/>
      </w:r>
      <w:r>
        <w:rPr>
          <w:rFonts w:hint="eastAsia"/>
          <w:szCs w:val="28"/>
        </w:rPr>
        <w:t>1.</w:t>
      </w:r>
      <w:r>
        <w:rPr>
          <w:rFonts w:hint="eastAsia"/>
        </w:rPr>
        <w:t>4</w:t>
      </w:r>
      <w:r>
        <w:rPr>
          <w:rFonts w:hint="eastAsia"/>
          <w:szCs w:val="28"/>
        </w:rPr>
        <w:t>　文档使用说明</w:t>
      </w:r>
      <w:r>
        <w:tab/>
      </w:r>
      <w:r>
        <w:fldChar w:fldCharType="begin"/>
      </w:r>
      <w:r>
        <w:instrText xml:space="preserve"> PAGEREF _Toc18142 </w:instrText>
      </w:r>
      <w:r>
        <w:fldChar w:fldCharType="separate"/>
      </w:r>
      <w:r>
        <w:t>5</w:t>
      </w:r>
      <w:r>
        <w:fldChar w:fldCharType="end"/>
      </w:r>
      <w:r>
        <w:fldChar w:fldCharType="end"/>
      </w:r>
    </w:p>
    <w:p>
      <w:pPr>
        <w:pStyle w:val="17"/>
        <w:tabs>
          <w:tab w:val="right" w:leader="dot" w:pos="8306"/>
          <w:tab w:val="clear" w:pos="8296"/>
        </w:tabs>
      </w:pPr>
      <w:r>
        <w:fldChar w:fldCharType="begin"/>
      </w:r>
      <w:r>
        <w:instrText xml:space="preserve"> HYPERLINK \l "_Toc40" </w:instrText>
      </w:r>
      <w:r>
        <w:fldChar w:fldCharType="separate"/>
      </w:r>
      <w:r>
        <w:rPr>
          <w:rFonts w:hint="eastAsia"/>
        </w:rPr>
        <w:t>2、</w:t>
      </w:r>
      <w:r>
        <w:rPr>
          <w:rFonts w:hint="eastAsia"/>
          <w:szCs w:val="32"/>
        </w:rPr>
        <w:t>竞买人注册登陆</w:t>
      </w:r>
      <w:r>
        <w:tab/>
      </w:r>
      <w:r>
        <w:fldChar w:fldCharType="begin"/>
      </w:r>
      <w:r>
        <w:instrText xml:space="preserve"> PAGEREF _Toc40 </w:instrText>
      </w:r>
      <w:r>
        <w:fldChar w:fldCharType="separate"/>
      </w:r>
      <w:r>
        <w:t>6</w:t>
      </w:r>
      <w:r>
        <w:fldChar w:fldCharType="end"/>
      </w:r>
      <w:r>
        <w:fldChar w:fldCharType="end"/>
      </w:r>
    </w:p>
    <w:p>
      <w:pPr>
        <w:pStyle w:val="20"/>
        <w:tabs>
          <w:tab w:val="right" w:leader="dot" w:pos="8306"/>
        </w:tabs>
      </w:pPr>
      <w:r>
        <w:fldChar w:fldCharType="begin"/>
      </w:r>
      <w:r>
        <w:instrText xml:space="preserve"> HYPERLINK \l "_Toc32267" </w:instrText>
      </w:r>
      <w:r>
        <w:fldChar w:fldCharType="separate"/>
      </w:r>
      <w:r>
        <w:rPr>
          <w:rFonts w:hint="eastAsia"/>
        </w:rPr>
        <w:t>2.1　</w:t>
      </w:r>
      <w:r>
        <w:rPr>
          <w:rFonts w:hint="eastAsia"/>
          <w:szCs w:val="28"/>
        </w:rPr>
        <w:t>系统访问</w:t>
      </w:r>
      <w:r>
        <w:tab/>
      </w:r>
      <w:r>
        <w:fldChar w:fldCharType="begin"/>
      </w:r>
      <w:r>
        <w:instrText xml:space="preserve"> PAGEREF _Toc32267 </w:instrText>
      </w:r>
      <w:r>
        <w:fldChar w:fldCharType="separate"/>
      </w:r>
      <w:r>
        <w:t>6</w:t>
      </w:r>
      <w:r>
        <w:fldChar w:fldCharType="end"/>
      </w:r>
      <w:r>
        <w:fldChar w:fldCharType="end"/>
      </w:r>
    </w:p>
    <w:p>
      <w:pPr>
        <w:pStyle w:val="20"/>
        <w:tabs>
          <w:tab w:val="right" w:leader="dot" w:pos="8306"/>
        </w:tabs>
      </w:pPr>
      <w:r>
        <w:fldChar w:fldCharType="begin"/>
      </w:r>
      <w:r>
        <w:instrText xml:space="preserve"> HYPERLINK \l "_Toc31305" </w:instrText>
      </w:r>
      <w:r>
        <w:fldChar w:fldCharType="separate"/>
      </w:r>
      <w:r>
        <w:rPr>
          <w:rFonts w:hint="eastAsia"/>
        </w:rPr>
        <w:t>2.2　</w:t>
      </w:r>
      <w:r>
        <w:rPr>
          <w:rFonts w:hint="eastAsia"/>
          <w:szCs w:val="28"/>
        </w:rPr>
        <w:t>用户登陆</w:t>
      </w:r>
      <w:r>
        <w:tab/>
      </w:r>
      <w:r>
        <w:fldChar w:fldCharType="begin"/>
      </w:r>
      <w:r>
        <w:instrText xml:space="preserve"> PAGEREF _Toc31305 </w:instrText>
      </w:r>
      <w:r>
        <w:fldChar w:fldCharType="separate"/>
      </w:r>
      <w:r>
        <w:t>6</w:t>
      </w:r>
      <w:r>
        <w:fldChar w:fldCharType="end"/>
      </w:r>
      <w:r>
        <w:fldChar w:fldCharType="end"/>
      </w:r>
    </w:p>
    <w:p>
      <w:pPr>
        <w:pStyle w:val="20"/>
        <w:tabs>
          <w:tab w:val="right" w:leader="dot" w:pos="8306"/>
        </w:tabs>
      </w:pPr>
      <w:r>
        <w:fldChar w:fldCharType="begin"/>
      </w:r>
      <w:r>
        <w:instrText xml:space="preserve"> HYPERLINK \l "_Toc2636" </w:instrText>
      </w:r>
      <w:r>
        <w:fldChar w:fldCharType="separate"/>
      </w:r>
      <w:r>
        <w:rPr>
          <w:rFonts w:hint="eastAsia"/>
        </w:rPr>
        <w:t>2.3　</w:t>
      </w:r>
      <w:r>
        <w:rPr>
          <w:rFonts w:hint="eastAsia"/>
          <w:szCs w:val="28"/>
        </w:rPr>
        <w:t>用户注册</w:t>
      </w:r>
      <w:r>
        <w:tab/>
      </w:r>
      <w:r>
        <w:fldChar w:fldCharType="begin"/>
      </w:r>
      <w:r>
        <w:instrText xml:space="preserve"> PAGEREF _Toc2636 </w:instrText>
      </w:r>
      <w:r>
        <w:fldChar w:fldCharType="separate"/>
      </w:r>
      <w:r>
        <w:t>7</w:t>
      </w:r>
      <w:r>
        <w:fldChar w:fldCharType="end"/>
      </w:r>
      <w:r>
        <w:fldChar w:fldCharType="end"/>
      </w:r>
    </w:p>
    <w:p>
      <w:pPr>
        <w:pStyle w:val="17"/>
        <w:tabs>
          <w:tab w:val="right" w:leader="dot" w:pos="8306"/>
          <w:tab w:val="clear" w:pos="8296"/>
        </w:tabs>
      </w:pPr>
      <w:r>
        <w:fldChar w:fldCharType="begin"/>
      </w:r>
      <w:r>
        <w:instrText xml:space="preserve"> HYPERLINK \l "_Toc22719" </w:instrText>
      </w:r>
      <w:r>
        <w:fldChar w:fldCharType="separate"/>
      </w:r>
      <w:r>
        <w:rPr>
          <w:rFonts w:hint="eastAsia"/>
        </w:rPr>
        <w:t>3、</w:t>
      </w:r>
      <w:r>
        <w:rPr>
          <w:rFonts w:hint="eastAsia"/>
          <w:szCs w:val="32"/>
        </w:rPr>
        <w:t>申请竞买</w:t>
      </w:r>
      <w:r>
        <w:tab/>
      </w:r>
      <w:r>
        <w:fldChar w:fldCharType="begin"/>
      </w:r>
      <w:r>
        <w:instrText xml:space="preserve"> PAGEREF _Toc22719 </w:instrText>
      </w:r>
      <w:r>
        <w:fldChar w:fldCharType="separate"/>
      </w:r>
      <w:r>
        <w:t>10</w:t>
      </w:r>
      <w:r>
        <w:fldChar w:fldCharType="end"/>
      </w:r>
      <w:r>
        <w:fldChar w:fldCharType="end"/>
      </w:r>
    </w:p>
    <w:p>
      <w:pPr>
        <w:pStyle w:val="20"/>
        <w:tabs>
          <w:tab w:val="right" w:leader="dot" w:pos="8306"/>
        </w:tabs>
      </w:pPr>
      <w:r>
        <w:fldChar w:fldCharType="begin"/>
      </w:r>
      <w:r>
        <w:instrText xml:space="preserve"> HYPERLINK \l "_Toc3038" </w:instrText>
      </w:r>
      <w:r>
        <w:fldChar w:fldCharType="separate"/>
      </w:r>
      <w:r>
        <w:rPr>
          <w:rFonts w:hint="eastAsia"/>
        </w:rPr>
        <w:t>3.1　</w:t>
      </w:r>
      <w:r>
        <w:rPr>
          <w:rFonts w:hint="eastAsia"/>
          <w:szCs w:val="28"/>
        </w:rPr>
        <w:t>土地申请竞买</w:t>
      </w:r>
      <w:r>
        <w:tab/>
      </w:r>
      <w:r>
        <w:fldChar w:fldCharType="begin"/>
      </w:r>
      <w:r>
        <w:instrText xml:space="preserve"> PAGEREF _Toc3038 </w:instrText>
      </w:r>
      <w:r>
        <w:fldChar w:fldCharType="separate"/>
      </w:r>
      <w:r>
        <w:t>10</w:t>
      </w:r>
      <w:r>
        <w:fldChar w:fldCharType="end"/>
      </w:r>
      <w:r>
        <w:fldChar w:fldCharType="end"/>
      </w:r>
    </w:p>
    <w:p>
      <w:pPr>
        <w:pStyle w:val="20"/>
        <w:tabs>
          <w:tab w:val="right" w:leader="dot" w:pos="8306"/>
        </w:tabs>
      </w:pPr>
      <w:r>
        <w:fldChar w:fldCharType="begin"/>
      </w:r>
      <w:r>
        <w:instrText xml:space="preserve"> HYPERLINK \l "_Toc2381" </w:instrText>
      </w:r>
      <w:r>
        <w:fldChar w:fldCharType="separate"/>
      </w:r>
      <w:r>
        <w:rPr>
          <w:rFonts w:hint="eastAsia"/>
        </w:rPr>
        <w:t>3.2　</w:t>
      </w:r>
      <w:r>
        <w:rPr>
          <w:rFonts w:hint="eastAsia"/>
          <w:szCs w:val="28"/>
        </w:rPr>
        <w:t>矿业申请竞买</w:t>
      </w:r>
      <w:r>
        <w:tab/>
      </w:r>
      <w:r>
        <w:fldChar w:fldCharType="begin"/>
      </w:r>
      <w:r>
        <w:instrText xml:space="preserve"> PAGEREF _Toc2381 </w:instrText>
      </w:r>
      <w:r>
        <w:fldChar w:fldCharType="separate"/>
      </w:r>
      <w:r>
        <w:t>13</w:t>
      </w:r>
      <w:r>
        <w:fldChar w:fldCharType="end"/>
      </w:r>
      <w:r>
        <w:fldChar w:fldCharType="end"/>
      </w:r>
    </w:p>
    <w:p>
      <w:pPr>
        <w:pStyle w:val="17"/>
        <w:tabs>
          <w:tab w:val="right" w:leader="dot" w:pos="8306"/>
          <w:tab w:val="clear" w:pos="8296"/>
        </w:tabs>
      </w:pPr>
      <w:r>
        <w:fldChar w:fldCharType="begin"/>
      </w:r>
      <w:r>
        <w:instrText xml:space="preserve"> HYPERLINK \l "_Toc13836" </w:instrText>
      </w:r>
      <w:r>
        <w:fldChar w:fldCharType="separate"/>
      </w:r>
      <w:r>
        <w:rPr>
          <w:rFonts w:hint="eastAsia"/>
        </w:rPr>
        <w:t>4、</w:t>
      </w:r>
      <w:r>
        <w:rPr>
          <w:rFonts w:hint="eastAsia"/>
          <w:szCs w:val="32"/>
        </w:rPr>
        <w:t>网上竞价</w:t>
      </w:r>
      <w:r>
        <w:tab/>
      </w:r>
      <w:r>
        <w:fldChar w:fldCharType="begin"/>
      </w:r>
      <w:r>
        <w:instrText xml:space="preserve"> PAGEREF _Toc13836 </w:instrText>
      </w:r>
      <w:r>
        <w:fldChar w:fldCharType="separate"/>
      </w:r>
      <w:r>
        <w:t>16</w:t>
      </w:r>
      <w:r>
        <w:fldChar w:fldCharType="end"/>
      </w:r>
      <w:r>
        <w:fldChar w:fldCharType="end"/>
      </w:r>
    </w:p>
    <w:p>
      <w:pPr>
        <w:pStyle w:val="20"/>
        <w:tabs>
          <w:tab w:val="right" w:leader="dot" w:pos="8306"/>
        </w:tabs>
      </w:pPr>
      <w:r>
        <w:fldChar w:fldCharType="begin"/>
      </w:r>
      <w:r>
        <w:instrText xml:space="preserve"> HYPERLINK \l "_Toc17497" </w:instrText>
      </w:r>
      <w:r>
        <w:fldChar w:fldCharType="separate"/>
      </w:r>
      <w:r>
        <w:rPr>
          <w:rFonts w:hint="eastAsia"/>
        </w:rPr>
        <w:t>4.1　</w:t>
      </w:r>
      <w:r>
        <w:rPr>
          <w:rFonts w:hint="eastAsia"/>
          <w:szCs w:val="28"/>
        </w:rPr>
        <w:t>土地网上竞价</w:t>
      </w:r>
      <w:r>
        <w:tab/>
      </w:r>
      <w:r>
        <w:fldChar w:fldCharType="begin"/>
      </w:r>
      <w:r>
        <w:instrText xml:space="preserve"> PAGEREF _Toc17497 </w:instrText>
      </w:r>
      <w:r>
        <w:fldChar w:fldCharType="separate"/>
      </w:r>
      <w:r>
        <w:t>16</w:t>
      </w:r>
      <w:r>
        <w:fldChar w:fldCharType="end"/>
      </w:r>
      <w:r>
        <w:fldChar w:fldCharType="end"/>
      </w:r>
    </w:p>
    <w:p>
      <w:pPr>
        <w:pStyle w:val="20"/>
        <w:tabs>
          <w:tab w:val="right" w:leader="dot" w:pos="8306"/>
        </w:tabs>
      </w:pPr>
      <w:r>
        <w:fldChar w:fldCharType="begin"/>
      </w:r>
      <w:r>
        <w:instrText xml:space="preserve"> HYPERLINK \l "_Toc4294" </w:instrText>
      </w:r>
      <w:r>
        <w:fldChar w:fldCharType="separate"/>
      </w:r>
      <w:r>
        <w:rPr>
          <w:rFonts w:hint="eastAsia"/>
        </w:rPr>
        <w:t>4.2　</w:t>
      </w:r>
      <w:r>
        <w:rPr>
          <w:rFonts w:hint="eastAsia"/>
          <w:szCs w:val="28"/>
        </w:rPr>
        <w:t>矿业网上竞价</w:t>
      </w:r>
      <w:r>
        <w:tab/>
      </w:r>
      <w:r>
        <w:fldChar w:fldCharType="begin"/>
      </w:r>
      <w:r>
        <w:instrText xml:space="preserve"> PAGEREF _Toc4294 </w:instrText>
      </w:r>
      <w:r>
        <w:fldChar w:fldCharType="separate"/>
      </w:r>
      <w:r>
        <w:t>18</w:t>
      </w:r>
      <w:r>
        <w:fldChar w:fldCharType="end"/>
      </w:r>
      <w:r>
        <w:fldChar w:fldCharType="end"/>
      </w:r>
    </w:p>
    <w:p>
      <w:pPr>
        <w:pStyle w:val="17"/>
        <w:tabs>
          <w:tab w:val="right" w:leader="dot" w:pos="8306"/>
          <w:tab w:val="clear" w:pos="8296"/>
        </w:tabs>
      </w:pPr>
      <w:r>
        <w:fldChar w:fldCharType="begin"/>
      </w:r>
      <w:r>
        <w:instrText xml:space="preserve"> HYPERLINK \l "_Toc26284" </w:instrText>
      </w:r>
      <w:r>
        <w:fldChar w:fldCharType="separate"/>
      </w:r>
      <w:r>
        <w:rPr>
          <w:rFonts w:hint="eastAsia"/>
        </w:rPr>
        <w:t>5、</w:t>
      </w:r>
      <w:r>
        <w:rPr>
          <w:rFonts w:hint="eastAsia"/>
          <w:szCs w:val="32"/>
        </w:rPr>
        <w:t>土地交易</w:t>
      </w:r>
      <w:r>
        <w:tab/>
      </w:r>
      <w:r>
        <w:fldChar w:fldCharType="begin"/>
      </w:r>
      <w:r>
        <w:instrText xml:space="preserve"> PAGEREF _Toc26284 </w:instrText>
      </w:r>
      <w:r>
        <w:fldChar w:fldCharType="separate"/>
      </w:r>
      <w:r>
        <w:t>19</w:t>
      </w:r>
      <w:r>
        <w:fldChar w:fldCharType="end"/>
      </w:r>
      <w:r>
        <w:fldChar w:fldCharType="end"/>
      </w:r>
    </w:p>
    <w:p>
      <w:pPr>
        <w:pStyle w:val="20"/>
        <w:tabs>
          <w:tab w:val="right" w:leader="dot" w:pos="8306"/>
        </w:tabs>
      </w:pPr>
      <w:r>
        <w:fldChar w:fldCharType="begin"/>
      </w:r>
      <w:r>
        <w:instrText xml:space="preserve"> HYPERLINK \l "_Toc4069" </w:instrText>
      </w:r>
      <w:r>
        <w:fldChar w:fldCharType="separate"/>
      </w:r>
      <w:r>
        <w:rPr>
          <w:rFonts w:hint="eastAsia"/>
        </w:rPr>
        <w:t>5.1　</w:t>
      </w:r>
      <w:r>
        <w:rPr>
          <w:rFonts w:hint="eastAsia"/>
          <w:szCs w:val="28"/>
        </w:rPr>
        <w:t>交易列表</w:t>
      </w:r>
      <w:r>
        <w:tab/>
      </w:r>
      <w:r>
        <w:fldChar w:fldCharType="begin"/>
      </w:r>
      <w:r>
        <w:instrText xml:space="preserve"> PAGEREF _Toc4069 </w:instrText>
      </w:r>
      <w:r>
        <w:fldChar w:fldCharType="separate"/>
      </w:r>
      <w:r>
        <w:t>19</w:t>
      </w:r>
      <w:r>
        <w:fldChar w:fldCharType="end"/>
      </w:r>
      <w:r>
        <w:fldChar w:fldCharType="end"/>
      </w:r>
    </w:p>
    <w:p>
      <w:pPr>
        <w:pStyle w:val="11"/>
        <w:tabs>
          <w:tab w:val="right" w:leader="dot" w:pos="8306"/>
        </w:tabs>
      </w:pPr>
      <w:r>
        <w:fldChar w:fldCharType="begin"/>
      </w:r>
      <w:r>
        <w:instrText xml:space="preserve"> HYPERLINK \l "_Toc15914" </w:instrText>
      </w:r>
      <w:r>
        <w:fldChar w:fldCharType="separate"/>
      </w:r>
      <w:r>
        <w:rPr>
          <w:rFonts w:hint="eastAsia"/>
        </w:rPr>
        <w:t>5.1.1　交易公告</w:t>
      </w:r>
      <w:r>
        <w:tab/>
      </w:r>
      <w:r>
        <w:fldChar w:fldCharType="begin"/>
      </w:r>
      <w:r>
        <w:instrText xml:space="preserve"> PAGEREF _Toc15914 </w:instrText>
      </w:r>
      <w:r>
        <w:fldChar w:fldCharType="separate"/>
      </w:r>
      <w:r>
        <w:t>19</w:t>
      </w:r>
      <w:r>
        <w:fldChar w:fldCharType="end"/>
      </w:r>
      <w:r>
        <w:fldChar w:fldCharType="end"/>
      </w:r>
    </w:p>
    <w:p>
      <w:pPr>
        <w:pStyle w:val="11"/>
        <w:tabs>
          <w:tab w:val="right" w:leader="dot" w:pos="8306"/>
        </w:tabs>
      </w:pPr>
      <w:r>
        <w:fldChar w:fldCharType="begin"/>
      </w:r>
      <w:r>
        <w:instrText xml:space="preserve"> HYPERLINK \l "_Toc30078" </w:instrText>
      </w:r>
      <w:r>
        <w:fldChar w:fldCharType="separate"/>
      </w:r>
      <w:r>
        <w:rPr>
          <w:rFonts w:hint="eastAsia"/>
        </w:rPr>
        <w:t>5.1.2　成交公示</w:t>
      </w:r>
      <w:r>
        <w:tab/>
      </w:r>
      <w:r>
        <w:fldChar w:fldCharType="begin"/>
      </w:r>
      <w:r>
        <w:instrText xml:space="preserve"> PAGEREF _Toc30078 </w:instrText>
      </w:r>
      <w:r>
        <w:fldChar w:fldCharType="separate"/>
      </w:r>
      <w:r>
        <w:t>20</w:t>
      </w:r>
      <w:r>
        <w:fldChar w:fldCharType="end"/>
      </w:r>
      <w:r>
        <w:fldChar w:fldCharType="end"/>
      </w:r>
    </w:p>
    <w:p>
      <w:pPr>
        <w:pStyle w:val="20"/>
        <w:tabs>
          <w:tab w:val="right" w:leader="dot" w:pos="8306"/>
        </w:tabs>
      </w:pPr>
      <w:r>
        <w:fldChar w:fldCharType="begin"/>
      </w:r>
      <w:r>
        <w:instrText xml:space="preserve"> HYPERLINK \l "_Toc2378" </w:instrText>
      </w:r>
      <w:r>
        <w:fldChar w:fldCharType="separate"/>
      </w:r>
      <w:r>
        <w:rPr>
          <w:rFonts w:hint="eastAsia"/>
        </w:rPr>
        <w:t>5.2　</w:t>
      </w:r>
      <w:r>
        <w:rPr>
          <w:rFonts w:hint="eastAsia"/>
          <w:szCs w:val="28"/>
        </w:rPr>
        <w:t>我的交易</w:t>
      </w:r>
      <w:r>
        <w:tab/>
      </w:r>
      <w:r>
        <w:fldChar w:fldCharType="begin"/>
      </w:r>
      <w:r>
        <w:instrText xml:space="preserve"> PAGEREF _Toc2378 </w:instrText>
      </w:r>
      <w:r>
        <w:fldChar w:fldCharType="separate"/>
      </w:r>
      <w:r>
        <w:t>21</w:t>
      </w:r>
      <w:r>
        <w:fldChar w:fldCharType="end"/>
      </w:r>
      <w:r>
        <w:fldChar w:fldCharType="end"/>
      </w:r>
    </w:p>
    <w:p>
      <w:pPr>
        <w:pStyle w:val="11"/>
        <w:tabs>
          <w:tab w:val="right" w:leader="dot" w:pos="8306"/>
        </w:tabs>
      </w:pPr>
      <w:r>
        <w:fldChar w:fldCharType="begin"/>
      </w:r>
      <w:r>
        <w:instrText xml:space="preserve"> HYPERLINK \l "_Toc24570" </w:instrText>
      </w:r>
      <w:r>
        <w:fldChar w:fldCharType="separate"/>
      </w:r>
      <w:r>
        <w:rPr>
          <w:rFonts w:hint="eastAsia"/>
        </w:rPr>
        <w:t>5.2.1　我的申请</w:t>
      </w:r>
      <w:r>
        <w:tab/>
      </w:r>
      <w:r>
        <w:fldChar w:fldCharType="begin"/>
      </w:r>
      <w:r>
        <w:instrText xml:space="preserve"> PAGEREF _Toc24570 </w:instrText>
      </w:r>
      <w:r>
        <w:fldChar w:fldCharType="separate"/>
      </w:r>
      <w:r>
        <w:t>21</w:t>
      </w:r>
      <w:r>
        <w:fldChar w:fldCharType="end"/>
      </w:r>
      <w:r>
        <w:fldChar w:fldCharType="end"/>
      </w:r>
    </w:p>
    <w:p>
      <w:pPr>
        <w:pStyle w:val="18"/>
        <w:tabs>
          <w:tab w:val="right" w:leader="dot" w:pos="8306"/>
        </w:tabs>
      </w:pPr>
      <w:r>
        <w:fldChar w:fldCharType="begin"/>
      </w:r>
      <w:r>
        <w:instrText xml:space="preserve"> HYPERLINK \l "_Toc10077" </w:instrText>
      </w:r>
      <w:r>
        <w:fldChar w:fldCharType="separate"/>
      </w:r>
      <w:r>
        <w:rPr>
          <w:rFonts w:hint="eastAsia"/>
        </w:rPr>
        <w:t>5.2.1.1　竞买人资料上传</w:t>
      </w:r>
      <w:r>
        <w:tab/>
      </w:r>
      <w:r>
        <w:fldChar w:fldCharType="begin"/>
      </w:r>
      <w:r>
        <w:instrText xml:space="preserve"> PAGEREF _Toc10077 </w:instrText>
      </w:r>
      <w:r>
        <w:fldChar w:fldCharType="separate"/>
      </w:r>
      <w:r>
        <w:t>21</w:t>
      </w:r>
      <w:r>
        <w:fldChar w:fldCharType="end"/>
      </w:r>
      <w:r>
        <w:fldChar w:fldCharType="end"/>
      </w:r>
    </w:p>
    <w:p>
      <w:pPr>
        <w:pStyle w:val="18"/>
        <w:tabs>
          <w:tab w:val="right" w:leader="dot" w:pos="8306"/>
        </w:tabs>
      </w:pPr>
      <w:r>
        <w:fldChar w:fldCharType="begin"/>
      </w:r>
      <w:r>
        <w:instrText xml:space="preserve"> HYPERLINK \l "_Toc10703" </w:instrText>
      </w:r>
      <w:r>
        <w:fldChar w:fldCharType="separate"/>
      </w:r>
      <w:r>
        <w:rPr>
          <w:rFonts w:hint="eastAsia"/>
        </w:rPr>
        <w:t>5.2.1.2　资格确认书</w:t>
      </w:r>
      <w:r>
        <w:tab/>
      </w:r>
      <w:r>
        <w:fldChar w:fldCharType="begin"/>
      </w:r>
      <w:r>
        <w:instrText xml:space="preserve"> PAGEREF _Toc10703 </w:instrText>
      </w:r>
      <w:r>
        <w:fldChar w:fldCharType="separate"/>
      </w:r>
      <w:r>
        <w:t>22</w:t>
      </w:r>
      <w:r>
        <w:fldChar w:fldCharType="end"/>
      </w:r>
      <w:r>
        <w:fldChar w:fldCharType="end"/>
      </w:r>
    </w:p>
    <w:p>
      <w:pPr>
        <w:pStyle w:val="18"/>
        <w:tabs>
          <w:tab w:val="right" w:leader="dot" w:pos="8306"/>
        </w:tabs>
      </w:pPr>
      <w:r>
        <w:fldChar w:fldCharType="begin"/>
      </w:r>
      <w:r>
        <w:instrText xml:space="preserve"> HYPERLINK \l "_Toc10201" </w:instrText>
      </w:r>
      <w:r>
        <w:fldChar w:fldCharType="separate"/>
      </w:r>
      <w:r>
        <w:rPr>
          <w:rFonts w:hint="eastAsia"/>
        </w:rPr>
        <w:t>5.2.1.3　成交通知书</w:t>
      </w:r>
      <w:r>
        <w:tab/>
      </w:r>
      <w:r>
        <w:fldChar w:fldCharType="begin"/>
      </w:r>
      <w:r>
        <w:instrText xml:space="preserve"> PAGEREF _Toc10201 </w:instrText>
      </w:r>
      <w:r>
        <w:fldChar w:fldCharType="separate"/>
      </w:r>
      <w:r>
        <w:t>23</w:t>
      </w:r>
      <w:r>
        <w:fldChar w:fldCharType="end"/>
      </w:r>
      <w:r>
        <w:fldChar w:fldCharType="end"/>
      </w:r>
    </w:p>
    <w:p>
      <w:pPr>
        <w:pStyle w:val="11"/>
        <w:tabs>
          <w:tab w:val="right" w:leader="dot" w:pos="8306"/>
        </w:tabs>
      </w:pPr>
      <w:r>
        <w:fldChar w:fldCharType="begin"/>
      </w:r>
      <w:r>
        <w:instrText xml:space="preserve"> HYPERLINK \l "_Toc12295" </w:instrText>
      </w:r>
      <w:r>
        <w:fldChar w:fldCharType="separate"/>
      </w:r>
      <w:r>
        <w:rPr>
          <w:rFonts w:hint="eastAsia"/>
        </w:rPr>
        <w:t>5.2.2　竞价记录</w:t>
      </w:r>
      <w:r>
        <w:tab/>
      </w:r>
      <w:r>
        <w:fldChar w:fldCharType="begin"/>
      </w:r>
      <w:r>
        <w:instrText xml:space="preserve"> PAGEREF _Toc12295 </w:instrText>
      </w:r>
      <w:r>
        <w:fldChar w:fldCharType="separate"/>
      </w:r>
      <w:r>
        <w:t>24</w:t>
      </w:r>
      <w:r>
        <w:fldChar w:fldCharType="end"/>
      </w:r>
      <w:r>
        <w:fldChar w:fldCharType="end"/>
      </w:r>
    </w:p>
    <w:p>
      <w:pPr>
        <w:pStyle w:val="17"/>
        <w:tabs>
          <w:tab w:val="right" w:leader="dot" w:pos="8306"/>
          <w:tab w:val="clear" w:pos="8296"/>
        </w:tabs>
      </w:pPr>
      <w:r>
        <w:fldChar w:fldCharType="begin"/>
      </w:r>
      <w:r>
        <w:instrText xml:space="preserve"> HYPERLINK \l "_Toc6477" </w:instrText>
      </w:r>
      <w:r>
        <w:fldChar w:fldCharType="separate"/>
      </w:r>
      <w:r>
        <w:rPr>
          <w:rFonts w:hint="eastAsia"/>
        </w:rPr>
        <w:t>6、</w:t>
      </w:r>
      <w:r>
        <w:rPr>
          <w:rFonts w:hint="eastAsia"/>
          <w:szCs w:val="32"/>
        </w:rPr>
        <w:t>矿业交易</w:t>
      </w:r>
      <w:r>
        <w:tab/>
      </w:r>
      <w:r>
        <w:fldChar w:fldCharType="begin"/>
      </w:r>
      <w:r>
        <w:instrText xml:space="preserve"> PAGEREF _Toc6477 </w:instrText>
      </w:r>
      <w:r>
        <w:fldChar w:fldCharType="separate"/>
      </w:r>
      <w:r>
        <w:t>25</w:t>
      </w:r>
      <w:r>
        <w:fldChar w:fldCharType="end"/>
      </w:r>
      <w:r>
        <w:fldChar w:fldCharType="end"/>
      </w:r>
    </w:p>
    <w:p>
      <w:pPr>
        <w:pStyle w:val="20"/>
        <w:tabs>
          <w:tab w:val="right" w:leader="dot" w:pos="8306"/>
        </w:tabs>
      </w:pPr>
      <w:r>
        <w:fldChar w:fldCharType="begin"/>
      </w:r>
      <w:r>
        <w:instrText xml:space="preserve"> HYPERLINK \l "_Toc32250" </w:instrText>
      </w:r>
      <w:r>
        <w:fldChar w:fldCharType="separate"/>
      </w:r>
      <w:r>
        <w:rPr>
          <w:rFonts w:hint="eastAsia"/>
        </w:rPr>
        <w:t>6.1　</w:t>
      </w:r>
      <w:r>
        <w:rPr>
          <w:rFonts w:hint="eastAsia"/>
          <w:szCs w:val="28"/>
        </w:rPr>
        <w:t>交易列表</w:t>
      </w:r>
      <w:r>
        <w:tab/>
      </w:r>
      <w:r>
        <w:fldChar w:fldCharType="begin"/>
      </w:r>
      <w:r>
        <w:instrText xml:space="preserve"> PAGEREF _Toc32250 </w:instrText>
      </w:r>
      <w:r>
        <w:fldChar w:fldCharType="separate"/>
      </w:r>
      <w:r>
        <w:t>25</w:t>
      </w:r>
      <w:r>
        <w:fldChar w:fldCharType="end"/>
      </w:r>
      <w:r>
        <w:fldChar w:fldCharType="end"/>
      </w:r>
    </w:p>
    <w:p>
      <w:pPr>
        <w:pStyle w:val="11"/>
        <w:tabs>
          <w:tab w:val="right" w:leader="dot" w:pos="8306"/>
        </w:tabs>
      </w:pPr>
      <w:r>
        <w:fldChar w:fldCharType="begin"/>
      </w:r>
      <w:r>
        <w:instrText xml:space="preserve"> HYPERLINK \l "_Toc15529" </w:instrText>
      </w:r>
      <w:r>
        <w:fldChar w:fldCharType="separate"/>
      </w:r>
      <w:r>
        <w:rPr>
          <w:rFonts w:hint="eastAsia"/>
        </w:rPr>
        <w:t>6.1.1　交易公告</w:t>
      </w:r>
      <w:r>
        <w:tab/>
      </w:r>
      <w:r>
        <w:fldChar w:fldCharType="begin"/>
      </w:r>
      <w:r>
        <w:instrText xml:space="preserve"> PAGEREF _Toc15529 </w:instrText>
      </w:r>
      <w:r>
        <w:fldChar w:fldCharType="separate"/>
      </w:r>
      <w:r>
        <w:t>25</w:t>
      </w:r>
      <w:r>
        <w:fldChar w:fldCharType="end"/>
      </w:r>
      <w:r>
        <w:fldChar w:fldCharType="end"/>
      </w:r>
    </w:p>
    <w:p>
      <w:pPr>
        <w:pStyle w:val="11"/>
        <w:tabs>
          <w:tab w:val="right" w:leader="dot" w:pos="8306"/>
        </w:tabs>
      </w:pPr>
      <w:r>
        <w:fldChar w:fldCharType="begin"/>
      </w:r>
      <w:r>
        <w:instrText xml:space="preserve"> HYPERLINK \l "_Toc4072" </w:instrText>
      </w:r>
      <w:r>
        <w:fldChar w:fldCharType="separate"/>
      </w:r>
      <w:r>
        <w:rPr>
          <w:rFonts w:hint="eastAsia"/>
        </w:rPr>
        <w:t>6.1.2　成交公示</w:t>
      </w:r>
      <w:r>
        <w:tab/>
      </w:r>
      <w:r>
        <w:fldChar w:fldCharType="begin"/>
      </w:r>
      <w:r>
        <w:instrText xml:space="preserve"> PAGEREF _Toc4072 </w:instrText>
      </w:r>
      <w:r>
        <w:fldChar w:fldCharType="separate"/>
      </w:r>
      <w:r>
        <w:t>26</w:t>
      </w:r>
      <w:r>
        <w:fldChar w:fldCharType="end"/>
      </w:r>
      <w:r>
        <w:fldChar w:fldCharType="end"/>
      </w:r>
    </w:p>
    <w:p>
      <w:pPr>
        <w:pStyle w:val="20"/>
        <w:tabs>
          <w:tab w:val="right" w:leader="dot" w:pos="8306"/>
        </w:tabs>
      </w:pPr>
      <w:r>
        <w:fldChar w:fldCharType="begin"/>
      </w:r>
      <w:r>
        <w:instrText xml:space="preserve"> HYPERLINK \l "_Toc10231" </w:instrText>
      </w:r>
      <w:r>
        <w:fldChar w:fldCharType="separate"/>
      </w:r>
      <w:r>
        <w:rPr>
          <w:rFonts w:hint="eastAsia"/>
        </w:rPr>
        <w:t>6.2　</w:t>
      </w:r>
      <w:r>
        <w:rPr>
          <w:rFonts w:hint="eastAsia"/>
          <w:szCs w:val="28"/>
        </w:rPr>
        <w:t>我的交易</w:t>
      </w:r>
      <w:r>
        <w:tab/>
      </w:r>
      <w:r>
        <w:fldChar w:fldCharType="begin"/>
      </w:r>
      <w:r>
        <w:instrText xml:space="preserve"> PAGEREF _Toc10231 </w:instrText>
      </w:r>
      <w:r>
        <w:fldChar w:fldCharType="separate"/>
      </w:r>
      <w:r>
        <w:t>26</w:t>
      </w:r>
      <w:r>
        <w:fldChar w:fldCharType="end"/>
      </w:r>
      <w:r>
        <w:fldChar w:fldCharType="end"/>
      </w:r>
    </w:p>
    <w:p>
      <w:pPr>
        <w:pStyle w:val="11"/>
        <w:tabs>
          <w:tab w:val="right" w:leader="dot" w:pos="8306"/>
        </w:tabs>
      </w:pPr>
      <w:r>
        <w:fldChar w:fldCharType="begin"/>
      </w:r>
      <w:r>
        <w:instrText xml:space="preserve"> HYPERLINK \l "_Toc11094" </w:instrText>
      </w:r>
      <w:r>
        <w:fldChar w:fldCharType="separate"/>
      </w:r>
      <w:r>
        <w:rPr>
          <w:rFonts w:hint="eastAsia"/>
        </w:rPr>
        <w:t>6.2.1　我的申请</w:t>
      </w:r>
      <w:r>
        <w:tab/>
      </w:r>
      <w:r>
        <w:fldChar w:fldCharType="begin"/>
      </w:r>
      <w:r>
        <w:instrText xml:space="preserve"> PAGEREF _Toc11094 </w:instrText>
      </w:r>
      <w:r>
        <w:fldChar w:fldCharType="separate"/>
      </w:r>
      <w:r>
        <w:t>26</w:t>
      </w:r>
      <w:r>
        <w:fldChar w:fldCharType="end"/>
      </w:r>
      <w:r>
        <w:fldChar w:fldCharType="end"/>
      </w:r>
    </w:p>
    <w:p>
      <w:pPr>
        <w:pStyle w:val="18"/>
        <w:tabs>
          <w:tab w:val="right" w:leader="dot" w:pos="8306"/>
        </w:tabs>
      </w:pPr>
      <w:r>
        <w:fldChar w:fldCharType="begin"/>
      </w:r>
      <w:r>
        <w:instrText xml:space="preserve"> HYPERLINK \l "_Toc31681" </w:instrText>
      </w:r>
      <w:r>
        <w:fldChar w:fldCharType="separate"/>
      </w:r>
      <w:r>
        <w:rPr>
          <w:rFonts w:hint="eastAsia"/>
        </w:rPr>
        <w:t>6.2.1.1　竞买人资料上传</w:t>
      </w:r>
      <w:r>
        <w:tab/>
      </w:r>
      <w:r>
        <w:fldChar w:fldCharType="begin"/>
      </w:r>
      <w:r>
        <w:instrText xml:space="preserve"> PAGEREF _Toc31681 </w:instrText>
      </w:r>
      <w:r>
        <w:fldChar w:fldCharType="separate"/>
      </w:r>
      <w:r>
        <w:t>26</w:t>
      </w:r>
      <w:r>
        <w:fldChar w:fldCharType="end"/>
      </w:r>
      <w:r>
        <w:fldChar w:fldCharType="end"/>
      </w:r>
    </w:p>
    <w:p>
      <w:pPr>
        <w:pStyle w:val="18"/>
        <w:tabs>
          <w:tab w:val="right" w:leader="dot" w:pos="8306"/>
        </w:tabs>
      </w:pPr>
      <w:r>
        <w:fldChar w:fldCharType="begin"/>
      </w:r>
      <w:r>
        <w:instrText xml:space="preserve"> HYPERLINK \l "_Toc859" </w:instrText>
      </w:r>
      <w:r>
        <w:fldChar w:fldCharType="separate"/>
      </w:r>
      <w:r>
        <w:rPr>
          <w:rFonts w:hint="eastAsia"/>
        </w:rPr>
        <w:t>6.2.1.2　资格确认书</w:t>
      </w:r>
      <w:r>
        <w:tab/>
      </w:r>
      <w:r>
        <w:fldChar w:fldCharType="begin"/>
      </w:r>
      <w:r>
        <w:instrText xml:space="preserve"> PAGEREF _Toc859 </w:instrText>
      </w:r>
      <w:r>
        <w:fldChar w:fldCharType="separate"/>
      </w:r>
      <w:r>
        <w:t>27</w:t>
      </w:r>
      <w:r>
        <w:fldChar w:fldCharType="end"/>
      </w:r>
      <w:r>
        <w:fldChar w:fldCharType="end"/>
      </w:r>
    </w:p>
    <w:p>
      <w:pPr>
        <w:pStyle w:val="18"/>
        <w:tabs>
          <w:tab w:val="right" w:leader="dot" w:pos="8306"/>
        </w:tabs>
      </w:pPr>
      <w:r>
        <w:fldChar w:fldCharType="begin"/>
      </w:r>
      <w:r>
        <w:instrText xml:space="preserve"> HYPERLINK \l "_Toc10416" </w:instrText>
      </w:r>
      <w:r>
        <w:fldChar w:fldCharType="separate"/>
      </w:r>
      <w:r>
        <w:rPr>
          <w:rFonts w:hint="eastAsia"/>
        </w:rPr>
        <w:t>6.2.1.3　成交通知书</w:t>
      </w:r>
      <w:r>
        <w:tab/>
      </w:r>
      <w:r>
        <w:fldChar w:fldCharType="begin"/>
      </w:r>
      <w:r>
        <w:instrText xml:space="preserve"> PAGEREF _Toc10416 </w:instrText>
      </w:r>
      <w:r>
        <w:fldChar w:fldCharType="separate"/>
      </w:r>
      <w:r>
        <w:t>28</w:t>
      </w:r>
      <w:r>
        <w:fldChar w:fldCharType="end"/>
      </w:r>
      <w:r>
        <w:fldChar w:fldCharType="end"/>
      </w:r>
    </w:p>
    <w:p>
      <w:pPr>
        <w:pStyle w:val="11"/>
        <w:tabs>
          <w:tab w:val="right" w:leader="dot" w:pos="8306"/>
        </w:tabs>
      </w:pPr>
      <w:r>
        <w:fldChar w:fldCharType="begin"/>
      </w:r>
      <w:r>
        <w:instrText xml:space="preserve"> HYPERLINK \l "_Toc20538" </w:instrText>
      </w:r>
      <w:r>
        <w:fldChar w:fldCharType="separate"/>
      </w:r>
      <w:r>
        <w:rPr>
          <w:rFonts w:hint="eastAsia"/>
        </w:rPr>
        <w:t>6.2.2　竞价记录</w:t>
      </w:r>
      <w:r>
        <w:tab/>
      </w:r>
      <w:r>
        <w:fldChar w:fldCharType="begin"/>
      </w:r>
      <w:r>
        <w:instrText xml:space="preserve"> PAGEREF _Toc20538 </w:instrText>
      </w:r>
      <w:r>
        <w:fldChar w:fldCharType="separate"/>
      </w:r>
      <w:r>
        <w:t>29</w:t>
      </w:r>
      <w:r>
        <w:fldChar w:fldCharType="end"/>
      </w:r>
      <w:r>
        <w:fldChar w:fldCharType="end"/>
      </w:r>
    </w:p>
    <w:p>
      <w:pPr>
        <w:pStyle w:val="17"/>
        <w:tabs>
          <w:tab w:val="right" w:leader="dot" w:pos="8306"/>
          <w:tab w:val="clear" w:pos="8296"/>
        </w:tabs>
      </w:pPr>
      <w:r>
        <w:fldChar w:fldCharType="begin"/>
      </w:r>
      <w:r>
        <w:instrText xml:space="preserve"> HYPERLINK \l "_Toc28462" </w:instrText>
      </w:r>
      <w:r>
        <w:fldChar w:fldCharType="separate"/>
      </w:r>
      <w:r>
        <w:rPr>
          <w:rFonts w:hint="eastAsia"/>
        </w:rPr>
        <w:t>7　保证金</w:t>
      </w:r>
      <w:r>
        <w:tab/>
      </w:r>
      <w:r>
        <w:fldChar w:fldCharType="begin"/>
      </w:r>
      <w:r>
        <w:instrText xml:space="preserve"> PAGEREF _Toc28462 </w:instrText>
      </w:r>
      <w:r>
        <w:fldChar w:fldCharType="separate"/>
      </w:r>
      <w:r>
        <w:t>29</w:t>
      </w:r>
      <w:r>
        <w:fldChar w:fldCharType="end"/>
      </w:r>
      <w:r>
        <w:fldChar w:fldCharType="end"/>
      </w:r>
    </w:p>
    <w:p>
      <w:pPr>
        <w:pStyle w:val="20"/>
        <w:tabs>
          <w:tab w:val="right" w:leader="dot" w:pos="8306"/>
        </w:tabs>
      </w:pPr>
      <w:r>
        <w:fldChar w:fldCharType="begin"/>
      </w:r>
      <w:r>
        <w:instrText xml:space="preserve"> HYPERLINK \l "_Toc32006" </w:instrText>
      </w:r>
      <w:r>
        <w:fldChar w:fldCharType="separate"/>
      </w:r>
      <w:r>
        <w:rPr>
          <w:rFonts w:hint="eastAsia"/>
        </w:rPr>
        <w:t>7.1　保证金查询</w:t>
      </w:r>
      <w:r>
        <w:tab/>
      </w:r>
      <w:r>
        <w:fldChar w:fldCharType="begin"/>
      </w:r>
      <w:r>
        <w:instrText xml:space="preserve"> PAGEREF _Toc32006 </w:instrText>
      </w:r>
      <w:r>
        <w:fldChar w:fldCharType="separate"/>
      </w:r>
      <w:r>
        <w:t>30</w:t>
      </w:r>
      <w:r>
        <w:fldChar w:fldCharType="end"/>
      </w:r>
      <w:r>
        <w:fldChar w:fldCharType="end"/>
      </w:r>
    </w:p>
    <w:p>
      <w:pPr>
        <w:pStyle w:val="20"/>
        <w:tabs>
          <w:tab w:val="right" w:leader="dot" w:pos="8306"/>
        </w:tabs>
      </w:pPr>
      <w:r>
        <w:fldChar w:fldCharType="begin"/>
      </w:r>
      <w:r>
        <w:instrText xml:space="preserve"> HYPERLINK \l "_Toc20755" </w:instrText>
      </w:r>
      <w:r>
        <w:fldChar w:fldCharType="separate"/>
      </w:r>
      <w:r>
        <w:rPr>
          <w:rFonts w:hint="eastAsia"/>
        </w:rPr>
        <w:t>7.2　到帐查询</w:t>
      </w:r>
      <w:r>
        <w:tab/>
      </w:r>
      <w:r>
        <w:fldChar w:fldCharType="begin"/>
      </w:r>
      <w:r>
        <w:instrText xml:space="preserve"> PAGEREF _Toc20755 </w:instrText>
      </w:r>
      <w:r>
        <w:fldChar w:fldCharType="separate"/>
      </w:r>
      <w:r>
        <w:t>31</w:t>
      </w:r>
      <w:r>
        <w:fldChar w:fldCharType="end"/>
      </w:r>
      <w:r>
        <w:fldChar w:fldCharType="end"/>
      </w:r>
    </w:p>
    <w:p>
      <w:pPr>
        <w:pStyle w:val="20"/>
        <w:tabs>
          <w:tab w:val="right" w:leader="dot" w:pos="8306"/>
        </w:tabs>
      </w:pPr>
      <w:r>
        <w:fldChar w:fldCharType="begin"/>
      </w:r>
      <w:r>
        <w:instrText xml:space="preserve"> HYPERLINK \l "_Toc25373" </w:instrText>
      </w:r>
      <w:r>
        <w:fldChar w:fldCharType="separate"/>
      </w:r>
      <w:r>
        <w:rPr>
          <w:rFonts w:hint="eastAsia"/>
        </w:rPr>
        <w:t>7.3　错转款查询</w:t>
      </w:r>
      <w:r>
        <w:tab/>
      </w:r>
      <w:r>
        <w:fldChar w:fldCharType="begin"/>
      </w:r>
      <w:r>
        <w:instrText xml:space="preserve"> PAGEREF _Toc25373 </w:instrText>
      </w:r>
      <w:r>
        <w:fldChar w:fldCharType="separate"/>
      </w:r>
      <w:r>
        <w:t>31</w:t>
      </w:r>
      <w:r>
        <w:fldChar w:fldCharType="end"/>
      </w:r>
      <w:r>
        <w:fldChar w:fldCharType="end"/>
      </w:r>
    </w:p>
    <w:p>
      <w:pPr>
        <w:pStyle w:val="20"/>
        <w:tabs>
          <w:tab w:val="right" w:leader="dot" w:pos="8306"/>
        </w:tabs>
      </w:pPr>
      <w:r>
        <w:fldChar w:fldCharType="begin"/>
      </w:r>
      <w:r>
        <w:instrText xml:space="preserve"> HYPERLINK \l "_Toc11675" </w:instrText>
      </w:r>
      <w:r>
        <w:fldChar w:fldCharType="separate"/>
      </w:r>
      <w:r>
        <w:rPr>
          <w:rFonts w:hint="eastAsia"/>
        </w:rPr>
        <w:t>7.4　退款查询</w:t>
      </w:r>
      <w:r>
        <w:tab/>
      </w:r>
      <w:r>
        <w:fldChar w:fldCharType="begin"/>
      </w:r>
      <w:r>
        <w:instrText xml:space="preserve"> PAGEREF _Toc11675 </w:instrText>
      </w:r>
      <w:r>
        <w:fldChar w:fldCharType="separate"/>
      </w:r>
      <w:r>
        <w:t>31</w:t>
      </w:r>
      <w:r>
        <w:fldChar w:fldCharType="end"/>
      </w:r>
      <w:r>
        <w:fldChar w:fldCharType="end"/>
      </w:r>
    </w:p>
    <w:p>
      <w:pPr>
        <w:spacing w:line="360" w:lineRule="auto"/>
        <w:rPr>
          <w:rFonts w:ascii="宋体" w:hAnsi="宋体" w:eastAsia="宋体"/>
          <w:sz w:val="28"/>
          <w:szCs w:val="28"/>
        </w:rPr>
      </w:pPr>
      <w:r>
        <w:rPr>
          <w:rFonts w:ascii="宋体" w:hAnsi="宋体" w:eastAsia="宋体" w:cstheme="minorHAnsi"/>
          <w:bCs/>
          <w:caps/>
          <w:kern w:val="44"/>
          <w:szCs w:val="32"/>
        </w:rPr>
        <w:fldChar w:fldCharType="end"/>
      </w:r>
    </w:p>
    <w:p>
      <w:pPr>
        <w:pStyle w:val="28"/>
        <w:spacing w:line="360" w:lineRule="auto"/>
        <w:rPr>
          <w:rFonts w:ascii="宋体" w:hAnsi="宋体" w:eastAsia="宋体"/>
          <w:color w:val="auto"/>
          <w:sz w:val="28"/>
          <w:szCs w:val="28"/>
        </w:rPr>
      </w:pPr>
    </w:p>
    <w:p>
      <w:pPr>
        <w:widowControl/>
        <w:jc w:val="left"/>
        <w:rPr>
          <w:rFonts w:ascii="宋体" w:hAnsi="宋体" w:eastAsia="宋体" w:cs="Calibri"/>
          <w:kern w:val="0"/>
          <w:sz w:val="28"/>
          <w:szCs w:val="28"/>
        </w:rPr>
      </w:pPr>
      <w:r>
        <w:rPr>
          <w:rFonts w:ascii="宋体" w:hAnsi="宋体" w:eastAsia="宋体"/>
          <w:sz w:val="28"/>
          <w:szCs w:val="28"/>
        </w:rPr>
        <w:br w:type="page"/>
      </w:r>
    </w:p>
    <w:p>
      <w:pPr>
        <w:pStyle w:val="28"/>
        <w:spacing w:line="360" w:lineRule="auto"/>
        <w:rPr>
          <w:rFonts w:ascii="宋体" w:hAnsi="宋体" w:eastAsia="宋体"/>
          <w:color w:val="auto"/>
          <w:sz w:val="28"/>
          <w:szCs w:val="28"/>
        </w:rPr>
      </w:pPr>
    </w:p>
    <w:p>
      <w:pPr>
        <w:pStyle w:val="2"/>
        <w:spacing w:line="360" w:lineRule="auto"/>
        <w:rPr>
          <w:rFonts w:ascii="宋体" w:hAnsi="宋体" w:eastAsia="宋体"/>
          <w:sz w:val="32"/>
          <w:szCs w:val="32"/>
        </w:rPr>
      </w:pPr>
      <w:bookmarkStart w:id="4" w:name="_Toc2633"/>
      <w:bookmarkStart w:id="5" w:name="_Toc384993282"/>
      <w:r>
        <w:rPr>
          <w:rFonts w:hint="eastAsia"/>
        </w:rPr>
        <w:t>1、</w:t>
      </w:r>
      <w:r>
        <w:rPr>
          <w:rFonts w:hint="eastAsia" w:ascii="宋体" w:hAnsi="宋体" w:eastAsia="宋体"/>
          <w:sz w:val="32"/>
          <w:szCs w:val="32"/>
        </w:rPr>
        <w:t>前言</w:t>
      </w:r>
      <w:bookmarkEnd w:id="4"/>
      <w:bookmarkEnd w:id="5"/>
    </w:p>
    <w:p>
      <w:pPr>
        <w:pStyle w:val="3"/>
      </w:pPr>
      <w:bookmarkStart w:id="6" w:name="_Toc28521"/>
      <w:bookmarkStart w:id="7" w:name="_Toc384993283"/>
      <w:r>
        <w:rPr>
          <w:rFonts w:hint="eastAsia"/>
        </w:rPr>
        <w:t>1.1　术语约定</w:t>
      </w:r>
      <w:bookmarkEnd w:id="6"/>
      <w:bookmarkEnd w:id="7"/>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业务部门：</w:t>
      </w:r>
      <w:r>
        <w:rPr>
          <w:rFonts w:hint="eastAsia" w:ascii="宋体" w:hAnsi="宋体" w:eastAsia="宋体" w:cs="宋体"/>
          <w:color w:val="auto"/>
        </w:rPr>
        <w:t>河源市公共资源交易中心。</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标的物：</w:t>
      </w:r>
      <w:r>
        <w:rPr>
          <w:rFonts w:hint="eastAsia" w:ascii="宋体" w:hAnsi="宋体" w:eastAsia="宋体" w:cs="宋体"/>
          <w:color w:val="auto"/>
        </w:rPr>
        <w:t>土地矿业储备交易中心负责对外交易的土地矿业交易对象。</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拍卖：</w:t>
      </w:r>
      <w:r>
        <w:rPr>
          <w:rFonts w:hint="eastAsia" w:ascii="宋体" w:hAnsi="宋体" w:eastAsia="宋体" w:cs="宋体"/>
          <w:color w:val="auto"/>
        </w:rPr>
        <w:t>即通过发布拍卖公告，由竞买人在指定时间、地点进行公开竞价，由出价最高者获得土地矿业权的行为。</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挂牌：</w:t>
      </w:r>
      <w:r>
        <w:rPr>
          <w:rFonts w:hint="eastAsia" w:ascii="宋体" w:hAnsi="宋体" w:eastAsia="宋体" w:cs="宋体"/>
          <w:color w:val="auto"/>
        </w:rPr>
        <w:t>即在一定期限内将土地矿业交易条件在土地矿业交易机构进行公告，并接受交易申请的行为。</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交易条件：</w:t>
      </w:r>
      <w:r>
        <w:rPr>
          <w:rFonts w:hint="eastAsia" w:ascii="宋体" w:hAnsi="宋体" w:eastAsia="宋体" w:cs="宋体"/>
          <w:color w:val="auto"/>
        </w:rPr>
        <w:t>标的物参与交易的交易时间、交易价格、报价阶梯、竞买资格等要求。</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网上交易：</w:t>
      </w:r>
      <w:r>
        <w:rPr>
          <w:rFonts w:hint="eastAsia" w:ascii="宋体" w:hAnsi="宋体" w:eastAsia="宋体" w:cs="宋体"/>
          <w:color w:val="auto"/>
        </w:rPr>
        <w:t>网上交易特指在互联网上进行的，覆盖自标的物公告后至交易结束的一系列交易行为。</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数字证书：</w:t>
      </w:r>
      <w:r>
        <w:rPr>
          <w:rFonts w:hint="eastAsia" w:ascii="宋体" w:hAnsi="宋体" w:eastAsia="宋体" w:cs="宋体"/>
          <w:color w:val="auto"/>
        </w:rPr>
        <w:t>此处特指交易中心采用的第三方</w:t>
      </w:r>
      <w:r>
        <w:rPr>
          <w:rFonts w:ascii="宋体" w:hAnsi="宋体" w:eastAsia="宋体" w:cs="宋体"/>
          <w:color w:val="auto"/>
        </w:rPr>
        <w:t>CA</w:t>
      </w:r>
      <w:r>
        <w:rPr>
          <w:rFonts w:hint="eastAsia" w:ascii="宋体" w:hAnsi="宋体" w:eastAsia="宋体" w:cs="宋体"/>
          <w:color w:val="auto"/>
        </w:rPr>
        <w:t>身份认证系统。</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随机子账号：</w:t>
      </w:r>
      <w:r>
        <w:rPr>
          <w:rFonts w:hint="eastAsia" w:ascii="宋体" w:hAnsi="宋体" w:eastAsia="宋体" w:cs="宋体"/>
          <w:color w:val="auto"/>
        </w:rPr>
        <w:t>由银行生成并返回到交易系统的一个账号，此账号是在交易中心主账号下随机生成的一个二级账号，一个子账号对应一宗标的。</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交易系统：</w:t>
      </w:r>
      <w:r>
        <w:rPr>
          <w:rFonts w:ascii="宋体" w:hAnsi="宋体" w:eastAsia="宋体" w:cs="宋体"/>
          <w:color w:val="auto"/>
        </w:rPr>
        <w:t>“</w:t>
      </w:r>
      <w:r>
        <w:rPr>
          <w:rFonts w:hint="eastAsia" w:ascii="宋体" w:hAnsi="宋体" w:eastAsia="宋体" w:cs="宋体"/>
          <w:color w:val="auto"/>
        </w:rPr>
        <w:t>河源市国土资源网上交易系统</w:t>
      </w:r>
      <w:r>
        <w:rPr>
          <w:rFonts w:ascii="宋体" w:hAnsi="宋体" w:eastAsia="宋体" w:cs="宋体"/>
          <w:color w:val="auto"/>
        </w:rPr>
        <w:t>”</w:t>
      </w:r>
      <w:r>
        <w:rPr>
          <w:rFonts w:hint="eastAsia" w:ascii="宋体" w:hAnsi="宋体" w:eastAsia="宋体" w:cs="宋体"/>
          <w:color w:val="auto"/>
        </w:rPr>
        <w:t>的简称。</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交易公告：</w:t>
      </w:r>
      <w:r>
        <w:rPr>
          <w:rFonts w:hint="eastAsia" w:ascii="宋体" w:hAnsi="宋体" w:eastAsia="宋体" w:cs="宋体"/>
          <w:color w:val="auto"/>
        </w:rPr>
        <w:t>土地矿业权出让、转让的交易公告。</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竞买人：</w:t>
      </w:r>
      <w:r>
        <w:rPr>
          <w:rFonts w:hint="eastAsia" w:ascii="宋体" w:hAnsi="宋体" w:eastAsia="宋体" w:cs="宋体"/>
          <w:color w:val="auto"/>
        </w:rPr>
        <w:t>对挂拍交易有兴趣并参与竞买的社会公众。</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网上挂牌</w:t>
      </w:r>
      <w:r>
        <w:rPr>
          <w:rFonts w:ascii="宋体" w:hAnsi="宋体" w:eastAsia="宋体" w:cs="宋体"/>
          <w:b/>
          <w:color w:val="auto"/>
        </w:rPr>
        <w:t>/</w:t>
      </w:r>
      <w:r>
        <w:rPr>
          <w:rFonts w:hint="eastAsia" w:ascii="宋体" w:hAnsi="宋体" w:eastAsia="宋体" w:cs="宋体"/>
          <w:b/>
          <w:color w:val="auto"/>
        </w:rPr>
        <w:t>拍卖：</w:t>
      </w:r>
      <w:r>
        <w:rPr>
          <w:rFonts w:hint="eastAsia" w:ascii="宋体" w:hAnsi="宋体" w:eastAsia="宋体" w:cs="宋体"/>
          <w:color w:val="auto"/>
        </w:rPr>
        <w:t>以现代互联网为工具的网上交易土地使用权的业务模式。</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挂牌报价期：</w:t>
      </w:r>
      <w:r>
        <w:rPr>
          <w:rFonts w:hint="eastAsia" w:ascii="宋体" w:hAnsi="宋体" w:eastAsia="宋体"/>
        </w:rPr>
        <w:t>指在网上挂牌开始时间至挂牌截止时间内的各次报价，竞买人可在此时间内的任一时点进行报价。</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限时竞价期：</w:t>
      </w:r>
      <w:r>
        <w:rPr>
          <w:rFonts w:hint="eastAsia" w:ascii="宋体" w:hAnsi="宋体" w:eastAsia="宋体"/>
        </w:rPr>
        <w:t>是指网上挂牌报价截止后，以5分钟为竞价时限报价，竞买人须在倒计时5分钟内进行报价。</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错转款：</w:t>
      </w:r>
      <w:r>
        <w:rPr>
          <w:rFonts w:hint="eastAsia" w:ascii="宋体" w:hAnsi="宋体" w:eastAsia="宋体" w:cs="宋体"/>
          <w:color w:val="auto"/>
        </w:rPr>
        <w:t>超过保证金截止时间或者多缴的保证金。</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保证金：</w:t>
      </w:r>
      <w:r>
        <w:rPr>
          <w:rFonts w:hint="eastAsia" w:ascii="宋体" w:hAnsi="宋体" w:eastAsia="宋体" w:cs="宋体"/>
          <w:color w:val="auto"/>
        </w:rPr>
        <w:t>即每个标的指定金额的履约保证金，竞买申请提交后需要交纳足额的保证金后才能开通竞买资格进行后续的交易。否则将被视为无效的竞买申请。</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竞买资格条件：</w:t>
      </w:r>
      <w:r>
        <w:rPr>
          <w:rFonts w:hint="eastAsia" w:ascii="宋体" w:hAnsi="宋体" w:eastAsia="宋体" w:cs="宋体"/>
          <w:color w:val="auto"/>
        </w:rPr>
        <w:t>部分标的对竞买人设置竞买条件，只有竞买人符合该条件才能进行开通竞价资格。由交易单位的资格审查部门对提交竞买申请的竞买人进行资格审核。</w:t>
      </w:r>
    </w:p>
    <w:p>
      <w:pPr>
        <w:pStyle w:val="28"/>
        <w:spacing w:line="360" w:lineRule="auto"/>
        <w:ind w:firstLine="482" w:firstLineChars="200"/>
        <w:rPr>
          <w:rFonts w:ascii="宋体" w:hAnsi="宋体" w:eastAsia="宋体" w:cs="宋体"/>
          <w:color w:val="auto"/>
        </w:rPr>
      </w:pPr>
      <w:r>
        <w:rPr>
          <w:rFonts w:hint="eastAsia" w:ascii="宋体" w:hAnsi="宋体" w:eastAsia="宋体" w:cs="宋体"/>
          <w:b/>
          <w:color w:val="auto"/>
        </w:rPr>
        <w:t>当前最高报价：</w:t>
      </w:r>
      <w:r>
        <w:rPr>
          <w:rFonts w:hint="eastAsia" w:ascii="宋体" w:hAnsi="宋体" w:eastAsia="宋体" w:cs="宋体"/>
          <w:color w:val="auto"/>
        </w:rPr>
        <w:t>标的进行交易时当前时间最高报价。</w:t>
      </w:r>
    </w:p>
    <w:p>
      <w:pPr>
        <w:pStyle w:val="3"/>
        <w:rPr>
          <w:szCs w:val="28"/>
        </w:rPr>
      </w:pPr>
      <w:bookmarkStart w:id="8" w:name="_Toc384993284"/>
      <w:bookmarkStart w:id="9" w:name="_Toc22404"/>
      <w:r>
        <w:rPr>
          <w:rFonts w:hint="eastAsia"/>
          <w:szCs w:val="28"/>
        </w:rPr>
        <w:t>1.2　预期读者</w:t>
      </w:r>
      <w:bookmarkEnd w:id="8"/>
      <w:bookmarkEnd w:id="9"/>
    </w:p>
    <w:p>
      <w:pPr>
        <w:pStyle w:val="28"/>
        <w:spacing w:line="360" w:lineRule="auto"/>
        <w:ind w:firstLine="480" w:firstLineChars="200"/>
        <w:rPr>
          <w:rFonts w:ascii="宋体" w:hAnsi="宋体" w:eastAsia="宋体" w:cs="宋体"/>
          <w:color w:val="auto"/>
        </w:rPr>
      </w:pPr>
      <w:r>
        <w:rPr>
          <w:rFonts w:hint="eastAsia" w:ascii="宋体" w:hAnsi="宋体" w:eastAsia="宋体" w:cs="宋体"/>
          <w:color w:val="auto"/>
        </w:rPr>
        <w:t>对土地使用权、矿业权交易有兴趣的竞买人。</w:t>
      </w:r>
    </w:p>
    <w:p>
      <w:pPr>
        <w:pStyle w:val="3"/>
        <w:rPr>
          <w:szCs w:val="28"/>
        </w:rPr>
      </w:pPr>
      <w:bookmarkStart w:id="10" w:name="_Toc31985"/>
      <w:bookmarkStart w:id="11" w:name="_Toc384993285"/>
      <w:r>
        <w:rPr>
          <w:rFonts w:hint="eastAsia"/>
          <w:szCs w:val="28"/>
        </w:rPr>
        <w:t>1.</w:t>
      </w:r>
      <w:r>
        <w:rPr>
          <w:rFonts w:hint="eastAsia"/>
        </w:rPr>
        <w:t>3</w:t>
      </w:r>
      <w:r>
        <w:rPr>
          <w:rFonts w:hint="eastAsia"/>
          <w:szCs w:val="28"/>
        </w:rPr>
        <w:t>　运行环境</w:t>
      </w:r>
      <w:bookmarkEnd w:id="10"/>
      <w:bookmarkEnd w:id="11"/>
    </w:p>
    <w:p>
      <w:pPr>
        <w:spacing w:line="360" w:lineRule="auto"/>
        <w:ind w:left="420"/>
        <w:rPr>
          <w:rFonts w:ascii="宋体" w:hAnsi="宋体" w:eastAsia="宋体" w:cs="华文中宋"/>
          <w:sz w:val="24"/>
          <w:szCs w:val="24"/>
        </w:rPr>
      </w:pPr>
      <w:r>
        <w:rPr>
          <w:rFonts w:hint="eastAsia" w:ascii="宋体" w:hAnsi="宋体" w:eastAsia="宋体" w:cs="宋体"/>
          <w:sz w:val="24"/>
          <w:szCs w:val="24"/>
        </w:rPr>
        <w:t>建议使用</w:t>
      </w:r>
      <w:r>
        <w:rPr>
          <w:rFonts w:ascii="宋体" w:hAnsi="宋体" w:eastAsia="宋体" w:cs="华文中宋"/>
          <w:sz w:val="24"/>
          <w:szCs w:val="24"/>
        </w:rPr>
        <w:t xml:space="preserve">Microsoft Internet Explorer </w:t>
      </w:r>
      <w:r>
        <w:rPr>
          <w:rFonts w:hint="eastAsia" w:ascii="宋体" w:hAnsi="宋体" w:eastAsia="宋体" w:cs="华文中宋"/>
          <w:sz w:val="24"/>
          <w:szCs w:val="24"/>
        </w:rPr>
        <w:t>9(IE9)浏览器,或其以上版本。</w:t>
      </w:r>
    </w:p>
    <w:p>
      <w:pPr>
        <w:pStyle w:val="3"/>
        <w:rPr>
          <w:szCs w:val="28"/>
        </w:rPr>
      </w:pPr>
      <w:bookmarkStart w:id="12" w:name="_Toc384993286"/>
      <w:bookmarkStart w:id="13" w:name="_Toc18142"/>
      <w:r>
        <w:rPr>
          <w:rFonts w:hint="eastAsia"/>
          <w:szCs w:val="28"/>
        </w:rPr>
        <w:t>1.</w:t>
      </w:r>
      <w:r>
        <w:rPr>
          <w:rFonts w:hint="eastAsia"/>
        </w:rPr>
        <w:t>4</w:t>
      </w:r>
      <w:r>
        <w:rPr>
          <w:rFonts w:hint="eastAsia"/>
          <w:szCs w:val="28"/>
        </w:rPr>
        <w:t>　文档使用说明</w:t>
      </w:r>
      <w:bookmarkEnd w:id="12"/>
      <w:bookmarkEnd w:id="13"/>
    </w:p>
    <w:p>
      <w:pPr>
        <w:pStyle w:val="28"/>
        <w:spacing w:line="360" w:lineRule="auto"/>
        <w:ind w:firstLine="480" w:firstLineChars="200"/>
        <w:rPr>
          <w:rFonts w:ascii="宋体" w:hAnsi="宋体" w:eastAsia="宋体" w:cs="宋体"/>
          <w:color w:val="auto"/>
        </w:rPr>
      </w:pPr>
      <w:r>
        <w:rPr>
          <w:rFonts w:hint="eastAsia" w:ascii="宋体" w:hAnsi="宋体" w:eastAsia="宋体" w:cs="宋体"/>
          <w:color w:val="auto"/>
        </w:rPr>
        <w:t>交易系统操作说明章节根据网上交易系统用户使用特点，将所有的操作以操作角色为单位进行划分，每一个角色都只需要查看自己相关的操作说明就可以完成所有的相关操作。</w:t>
      </w:r>
    </w:p>
    <w:p>
      <w:pPr>
        <w:widowControl/>
        <w:jc w:val="left"/>
        <w:rPr>
          <w:rFonts w:ascii="宋体" w:hAnsi="宋体" w:eastAsia="宋体" w:cs="宋体"/>
          <w:kern w:val="0"/>
          <w:sz w:val="24"/>
          <w:szCs w:val="24"/>
        </w:rPr>
      </w:pPr>
      <w:r>
        <w:rPr>
          <w:rFonts w:ascii="宋体" w:hAnsi="宋体" w:eastAsia="宋体" w:cs="宋体"/>
          <w:sz w:val="24"/>
          <w:szCs w:val="24"/>
        </w:rPr>
        <w:br w:type="page"/>
      </w:r>
    </w:p>
    <w:p>
      <w:pPr>
        <w:pStyle w:val="28"/>
        <w:spacing w:line="360" w:lineRule="auto"/>
        <w:ind w:firstLine="480" w:firstLineChars="200"/>
        <w:rPr>
          <w:rFonts w:ascii="宋体" w:hAnsi="宋体" w:eastAsia="宋体" w:cs="宋体"/>
          <w:color w:val="auto"/>
        </w:rPr>
      </w:pPr>
    </w:p>
    <w:p>
      <w:pPr>
        <w:pStyle w:val="2"/>
        <w:rPr>
          <w:szCs w:val="32"/>
        </w:rPr>
      </w:pPr>
      <w:bookmarkStart w:id="14" w:name="_Toc40"/>
      <w:r>
        <w:rPr>
          <w:rFonts w:hint="eastAsia"/>
        </w:rPr>
        <w:t>2、</w:t>
      </w:r>
      <w:r>
        <w:rPr>
          <w:rFonts w:hint="eastAsia"/>
          <w:szCs w:val="32"/>
        </w:rPr>
        <w:t>竞买人注册登陆</w:t>
      </w:r>
      <w:bookmarkEnd w:id="14"/>
    </w:p>
    <w:p>
      <w:pPr>
        <w:pStyle w:val="3"/>
        <w:rPr>
          <w:szCs w:val="28"/>
        </w:rPr>
      </w:pPr>
      <w:bookmarkStart w:id="15" w:name="_Toc32267"/>
      <w:bookmarkStart w:id="16" w:name="OLE_LINK17"/>
      <w:bookmarkStart w:id="17" w:name="OLE_LINK16"/>
      <w:bookmarkStart w:id="18" w:name="_Toc384993288"/>
      <w:r>
        <w:rPr>
          <w:rFonts w:hint="eastAsia"/>
        </w:rPr>
        <w:t>2.1　</w:t>
      </w:r>
      <w:r>
        <w:rPr>
          <w:rFonts w:hint="eastAsia"/>
          <w:szCs w:val="28"/>
        </w:rPr>
        <w:t>系统访问</w:t>
      </w:r>
      <w:bookmarkEnd w:id="15"/>
    </w:p>
    <w:bookmarkEnd w:id="16"/>
    <w:bookmarkEnd w:id="17"/>
    <w:p>
      <w:pPr>
        <w:pStyle w:val="28"/>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通过网址</w:t>
      </w:r>
      <w:r>
        <w:fldChar w:fldCharType="begin"/>
      </w:r>
      <w:r>
        <w:instrText xml:space="preserve"> HYPERLINK "http://www.hytudi.com" </w:instrText>
      </w:r>
      <w:r>
        <w:fldChar w:fldCharType="separate"/>
      </w:r>
      <w:r>
        <w:rPr>
          <w:rStyle w:val="23"/>
          <w:rFonts w:hint="eastAsia" w:ascii="宋体" w:hAnsi="宋体" w:eastAsia="宋体" w:cs="宋体"/>
        </w:rPr>
        <w:t>http://www.hytudi.com</w:t>
      </w:r>
      <w:r>
        <w:rPr>
          <w:rStyle w:val="23"/>
          <w:rFonts w:ascii="宋体" w:hAnsi="宋体" w:eastAsia="宋体" w:cs="宋体"/>
        </w:rPr>
        <w:fldChar w:fldCharType="end"/>
      </w:r>
      <w:r>
        <w:rPr>
          <w:rFonts w:hint="eastAsia"/>
        </w:rPr>
        <w:t xml:space="preserve"> </w:t>
      </w:r>
      <w:r>
        <w:rPr>
          <w:rFonts w:hint="eastAsia" w:ascii="宋体" w:hAnsi="宋体" w:eastAsia="宋体" w:cs="宋体"/>
          <w:color w:val="auto"/>
        </w:rPr>
        <w:t>自动跳转到首页</w:t>
      </w:r>
    </w:p>
    <w:p>
      <w:pPr>
        <w:pStyle w:val="28"/>
        <w:spacing w:line="360" w:lineRule="auto"/>
        <w:ind w:firstLine="480" w:firstLineChars="200"/>
        <w:rPr>
          <w:rFonts w:ascii="宋体" w:hAnsi="宋体" w:eastAsia="宋体" w:cs="宋体"/>
          <w:color w:val="auto"/>
        </w:rPr>
      </w:pPr>
      <w:r>
        <w:rPr>
          <w:rFonts w:hint="eastAsia" w:ascii="宋体" w:hAnsi="宋体" w:eastAsia="宋体" w:cs="宋体"/>
          <w:color w:val="auto"/>
        </w:rPr>
        <w:t xml:space="preserve"> “河源市公共资源交易中心－国土资源网上交易系统”。如下图所示：</w:t>
      </w:r>
      <w:r>
        <w:rPr>
          <w:rFonts w:hint="eastAsia" w:ascii="宋体" w:hAnsi="宋体" w:eastAsia="宋体" w:cs="宋体"/>
        </w:rPr>
        <w:drawing>
          <wp:inline distT="0" distB="0" distL="0" distR="0">
            <wp:extent cx="5269865" cy="2085975"/>
            <wp:effectExtent l="19050" t="0" r="6563"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9"/>
                    <a:srcRect/>
                    <a:stretch>
                      <a:fillRect/>
                    </a:stretch>
                  </pic:blipFill>
                  <pic:spPr>
                    <a:xfrm>
                      <a:off x="0" y="0"/>
                      <a:ext cx="5274310" cy="2087567"/>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bookmarkStart w:id="19" w:name="OLE_LINK18"/>
      <w:bookmarkStart w:id="20" w:name="OLE_LINK19"/>
      <w:r>
        <w:rPr>
          <w:rFonts w:hint="eastAsia" w:ascii="宋体" w:hAnsi="宋体" w:eastAsia="宋体" w:cs="宋体"/>
          <w:color w:val="auto"/>
        </w:rPr>
        <w:t>图2.1-1 公共资源交易门户</w:t>
      </w:r>
    </w:p>
    <w:p>
      <w:pPr>
        <w:pStyle w:val="28"/>
        <w:spacing w:line="360" w:lineRule="auto"/>
        <w:jc w:val="center"/>
        <w:rPr>
          <w:rFonts w:ascii="宋体" w:hAnsi="宋体" w:eastAsia="宋体" w:cs="宋体"/>
          <w:color w:val="auto"/>
        </w:rPr>
      </w:pPr>
      <w:commentRangeStart w:id="0"/>
      <w:r>
        <w:drawing>
          <wp:inline distT="0" distB="0" distL="0" distR="0">
            <wp:extent cx="5274310" cy="34880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274310" cy="3488055"/>
                    </a:xfrm>
                    <a:prstGeom prst="rect">
                      <a:avLst/>
                    </a:prstGeom>
                  </pic:spPr>
                </pic:pic>
              </a:graphicData>
            </a:graphic>
          </wp:inline>
        </w:drawing>
      </w:r>
      <w:commentRangeEnd w:id="0"/>
      <w:r>
        <w:rPr>
          <w:rStyle w:val="24"/>
          <w:rFonts w:asciiTheme="minorHAnsi" w:hAnsiTheme="minorHAnsi" w:cstheme="minorBidi"/>
          <w:color w:val="auto"/>
          <w:kern w:val="2"/>
        </w:rPr>
        <w:commentReference w:id="0"/>
      </w:r>
    </w:p>
    <w:bookmarkEnd w:id="19"/>
    <w:bookmarkEnd w:id="20"/>
    <w:p>
      <w:pPr>
        <w:pStyle w:val="3"/>
        <w:rPr>
          <w:szCs w:val="28"/>
        </w:rPr>
      </w:pPr>
      <w:bookmarkStart w:id="21" w:name="_Toc31305"/>
      <w:bookmarkStart w:id="22" w:name="OLE_LINK23"/>
      <w:bookmarkStart w:id="23" w:name="OLE_LINK24"/>
      <w:r>
        <w:rPr>
          <w:rFonts w:hint="eastAsia"/>
        </w:rPr>
        <w:t>2.2　</w:t>
      </w:r>
      <w:r>
        <w:rPr>
          <w:rFonts w:hint="eastAsia"/>
          <w:szCs w:val="28"/>
        </w:rPr>
        <w:t>用户登陆</w:t>
      </w:r>
      <w:bookmarkEnd w:id="21"/>
    </w:p>
    <w:bookmarkEnd w:id="22"/>
    <w:bookmarkEnd w:id="23"/>
    <w:p>
      <w:pPr>
        <w:pStyle w:val="28"/>
        <w:numPr>
          <w:ilvl w:val="0"/>
          <w:numId w:val="1"/>
        </w:numPr>
        <w:spacing w:line="360" w:lineRule="auto"/>
        <w:ind w:firstLine="480" w:firstLineChars="200"/>
      </w:pPr>
      <w:bookmarkStart w:id="24" w:name="OLE_LINK22"/>
      <w:bookmarkStart w:id="25" w:name="OLE_LINK20"/>
      <w:bookmarkStart w:id="26" w:name="OLE_LINK21"/>
      <w:r>
        <w:rPr>
          <w:rFonts w:hint="eastAsia"/>
        </w:rPr>
        <w:t>在进行登陆之前，请确保CA已插入相应计算机的USB口，并已正确安装了CA驱动程序。</w:t>
      </w:r>
    </w:p>
    <w:p>
      <w:pPr>
        <w:pStyle w:val="28"/>
        <w:numPr>
          <w:ilvl w:val="0"/>
          <w:numId w:val="1"/>
        </w:numPr>
        <w:spacing w:line="360" w:lineRule="auto"/>
        <w:ind w:firstLine="480" w:firstLineChars="200"/>
      </w:pPr>
      <w:r>
        <w:rPr>
          <w:rFonts w:hint="eastAsia"/>
        </w:rPr>
        <w:t>在上图，</w:t>
      </w:r>
      <w:bookmarkEnd w:id="24"/>
      <w:bookmarkEnd w:id="25"/>
      <w:bookmarkEnd w:id="26"/>
      <w:r>
        <w:rPr>
          <w:rFonts w:hint="eastAsia"/>
        </w:rPr>
        <w:t>点击“交易系统登录”进入“用户登录”界面，选择“GDCA登录”。如下图所示：</w:t>
      </w:r>
    </w:p>
    <w:p>
      <w:pPr>
        <w:pStyle w:val="28"/>
        <w:spacing w:line="360" w:lineRule="auto"/>
        <w:rPr>
          <w:rFonts w:ascii="宋体" w:hAnsi="宋体" w:eastAsia="宋体" w:cs="宋体"/>
          <w:color w:val="auto"/>
        </w:rPr>
      </w:pPr>
      <w:r>
        <w:rPr>
          <w:rFonts w:hint="eastAsia" w:ascii="宋体" w:hAnsi="宋体" w:eastAsia="宋体" w:cs="宋体"/>
        </w:rPr>
        <w:drawing>
          <wp:inline distT="0" distB="0" distL="0" distR="0">
            <wp:extent cx="5271135" cy="2447925"/>
            <wp:effectExtent l="19050" t="0" r="5227" b="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noChangeArrowheads="1"/>
                    </pic:cNvPicPr>
                  </pic:nvPicPr>
                  <pic:blipFill>
                    <a:blip r:embed="rId11"/>
                    <a:srcRect/>
                    <a:stretch>
                      <a:fillRect/>
                    </a:stretch>
                  </pic:blipFill>
                  <pic:spPr>
                    <a:xfrm>
                      <a:off x="0" y="0"/>
                      <a:ext cx="5274310" cy="2449173"/>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r>
        <w:rPr>
          <w:rFonts w:hint="eastAsia" w:ascii="宋体" w:hAnsi="宋体" w:eastAsia="宋体" w:cs="宋体"/>
          <w:color w:val="auto"/>
        </w:rPr>
        <w:t>图2.1-2 用户登录页面</w:t>
      </w:r>
    </w:p>
    <w:p>
      <w:pPr>
        <w:pStyle w:val="28"/>
        <w:spacing w:line="360" w:lineRule="auto"/>
        <w:ind w:firstLine="480" w:firstLineChars="200"/>
      </w:pPr>
      <w:bookmarkStart w:id="27" w:name="OLE_LINK32"/>
      <w:bookmarkStart w:id="28" w:name="OLE_LINK31"/>
      <w:r>
        <w:t>3</w:t>
      </w:r>
      <w:r>
        <w:rPr>
          <w:rFonts w:hint="eastAsia"/>
        </w:rPr>
        <w:t>、在上图</w:t>
      </w:r>
      <w:bookmarkEnd w:id="27"/>
      <w:bookmarkEnd w:id="28"/>
      <w:r>
        <w:rPr>
          <w:rFonts w:hint="eastAsia"/>
        </w:rPr>
        <w:t>，输入密码和验证码，点击“登录”按钮，即可登陆系统。（请使用</w:t>
      </w:r>
      <w:bookmarkStart w:id="29" w:name="OLE_LINK25"/>
      <w:bookmarkStart w:id="30" w:name="OLE_LINK27"/>
      <w:bookmarkStart w:id="31" w:name="OLE_LINK26"/>
      <w:r>
        <w:rPr>
          <w:rFonts w:hint="eastAsia"/>
        </w:rPr>
        <w:t>IE9浏览器</w:t>
      </w:r>
      <w:bookmarkEnd w:id="29"/>
      <w:bookmarkEnd w:id="30"/>
      <w:bookmarkEnd w:id="31"/>
      <w:r>
        <w:rPr>
          <w:rFonts w:hint="eastAsia"/>
        </w:rPr>
        <w:t>或IE9以上浏览器）</w:t>
      </w:r>
    </w:p>
    <w:p>
      <w:pPr>
        <w:pStyle w:val="3"/>
        <w:rPr>
          <w:szCs w:val="28"/>
        </w:rPr>
      </w:pPr>
      <w:bookmarkStart w:id="32" w:name="_Toc2636"/>
      <w:r>
        <w:rPr>
          <w:rFonts w:hint="eastAsia"/>
        </w:rPr>
        <w:t>2.3　</w:t>
      </w:r>
      <w:r>
        <w:rPr>
          <w:rFonts w:hint="eastAsia"/>
          <w:szCs w:val="28"/>
        </w:rPr>
        <w:t>用户注册</w:t>
      </w:r>
      <w:bookmarkEnd w:id="32"/>
    </w:p>
    <w:p>
      <w:pPr>
        <w:pStyle w:val="28"/>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在“用户登录页面”界面，</w:t>
      </w:r>
      <w:bookmarkStart w:id="33" w:name="OLE_LINK33"/>
      <w:bookmarkStart w:id="34" w:name="OLE_LINK34"/>
      <w:r>
        <w:rPr>
          <w:rFonts w:hint="eastAsia" w:ascii="宋体" w:hAnsi="宋体" w:eastAsia="宋体" w:cs="宋体"/>
          <w:color w:val="auto"/>
        </w:rPr>
        <w:t>点击“注册”按钮</w:t>
      </w:r>
      <w:bookmarkEnd w:id="33"/>
      <w:bookmarkEnd w:id="34"/>
      <w:r>
        <w:rPr>
          <w:rFonts w:hint="eastAsia" w:ascii="宋体" w:hAnsi="宋体" w:eastAsia="宋体" w:cs="宋体"/>
          <w:color w:val="auto"/>
        </w:rPr>
        <w:t>。如下图所示：</w:t>
      </w:r>
      <w:r>
        <w:rPr>
          <w:rFonts w:ascii="宋体" w:hAnsi="宋体" w:eastAsia="宋体" w:cs="宋体"/>
          <w:color w:val="auto"/>
        </w:rPr>
        <w:t xml:space="preserve"> </w:t>
      </w:r>
    </w:p>
    <w:p>
      <w:pPr>
        <w:pStyle w:val="28"/>
        <w:spacing w:line="360" w:lineRule="auto"/>
        <w:jc w:val="center"/>
        <w:rPr>
          <w:rFonts w:ascii="宋体" w:hAnsi="宋体" w:eastAsia="宋体" w:cs="宋体"/>
          <w:color w:val="auto"/>
          <w:sz w:val="28"/>
          <w:szCs w:val="28"/>
        </w:rPr>
      </w:pPr>
      <w:r>
        <w:rPr>
          <w:rFonts w:hint="eastAsia" w:ascii="宋体" w:hAnsi="宋体" w:eastAsia="宋体" w:cs="宋体"/>
          <w:sz w:val="28"/>
          <w:szCs w:val="28"/>
        </w:rPr>
        <w:drawing>
          <wp:inline distT="0" distB="0" distL="0" distR="0">
            <wp:extent cx="5271135" cy="2447925"/>
            <wp:effectExtent l="19050" t="0" r="5227" b="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noChangeArrowheads="1"/>
                    </pic:cNvPicPr>
                  </pic:nvPicPr>
                  <pic:blipFill>
                    <a:blip r:embed="rId11"/>
                    <a:srcRect/>
                    <a:stretch>
                      <a:fillRect/>
                    </a:stretch>
                  </pic:blipFill>
                  <pic:spPr>
                    <a:xfrm>
                      <a:off x="0" y="0"/>
                      <a:ext cx="5274310" cy="2449173"/>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bookmarkStart w:id="35" w:name="OLE_LINK35"/>
      <w:bookmarkStart w:id="36" w:name="OLE_LINK36"/>
      <w:bookmarkStart w:id="37" w:name="OLE_LINK9"/>
      <w:bookmarkStart w:id="38" w:name="OLE_LINK8"/>
      <w:r>
        <w:rPr>
          <w:rFonts w:hint="eastAsia" w:ascii="宋体" w:hAnsi="宋体" w:eastAsia="宋体" w:cs="宋体"/>
          <w:color w:val="auto"/>
        </w:rPr>
        <w:t>图2.3-1 用户登录页面</w:t>
      </w:r>
    </w:p>
    <w:bookmarkEnd w:id="35"/>
    <w:bookmarkEnd w:id="36"/>
    <w:p>
      <w:pPr>
        <w:pStyle w:val="28"/>
        <w:spacing w:line="360" w:lineRule="auto"/>
        <w:ind w:firstLine="480" w:firstLineChars="200"/>
        <w:rPr>
          <w:rFonts w:ascii="Calibri" w:hAnsi="Calibri" w:cs="Calibri" w:eastAsiaTheme="minorEastAsia"/>
          <w:color w:val="000000"/>
        </w:rPr>
      </w:pPr>
      <w:bookmarkStart w:id="39" w:name="OLE_LINK39"/>
      <w:bookmarkStart w:id="40" w:name="OLE_LINK37"/>
      <w:bookmarkStart w:id="41" w:name="OLE_LINK38"/>
      <w:r>
        <w:rPr>
          <w:rFonts w:hint="eastAsia"/>
        </w:rPr>
        <w:t>2、在上图</w:t>
      </w:r>
      <w:bookmarkEnd w:id="39"/>
      <w:bookmarkEnd w:id="40"/>
      <w:bookmarkEnd w:id="41"/>
      <w:r>
        <w:rPr>
          <w:rFonts w:hint="eastAsia"/>
        </w:rPr>
        <w:t>，</w:t>
      </w:r>
      <w:r>
        <w:rPr>
          <w:rFonts w:hint="eastAsia" w:ascii="Calibri" w:hAnsi="Calibri" w:cs="Calibri" w:eastAsiaTheme="minorEastAsia"/>
          <w:color w:val="000000"/>
        </w:rPr>
        <w:t>点击“注册”按钮,进入“注册”界面。如下图所示：</w:t>
      </w:r>
    </w:p>
    <w:p>
      <w:pPr>
        <w:pStyle w:val="28"/>
        <w:spacing w:line="360" w:lineRule="auto"/>
        <w:rPr>
          <w:rFonts w:ascii="宋体" w:hAnsi="宋体" w:eastAsia="宋体" w:cs="宋体"/>
          <w:color w:val="auto"/>
        </w:rPr>
      </w:pPr>
      <w:r>
        <w:rPr>
          <w:rFonts w:hint="eastAsia" w:ascii="宋体" w:hAnsi="宋体" w:eastAsia="宋体" w:cs="宋体"/>
        </w:rPr>
        <w:drawing>
          <wp:inline distT="0" distB="0" distL="0" distR="0">
            <wp:extent cx="5274310" cy="1657985"/>
            <wp:effectExtent l="19050" t="0" r="2540" b="0"/>
            <wp:docPr id="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
                    <pic:cNvPicPr>
                      <a:picLocks noChangeAspect="1" noChangeArrowheads="1"/>
                    </pic:cNvPicPr>
                  </pic:nvPicPr>
                  <pic:blipFill>
                    <a:blip r:embed="rId12"/>
                    <a:srcRect b="-68"/>
                    <a:stretch>
                      <a:fillRect/>
                    </a:stretch>
                  </pic:blipFill>
                  <pic:spPr>
                    <a:xfrm>
                      <a:off x="0" y="0"/>
                      <a:ext cx="5274310" cy="1658481"/>
                    </a:xfrm>
                    <a:prstGeom prst="rect">
                      <a:avLst/>
                    </a:prstGeom>
                    <a:noFill/>
                    <a:ln w="9525">
                      <a:noFill/>
                      <a:miter lim="800000"/>
                      <a:headEnd/>
                      <a:tailEnd/>
                    </a:ln>
                  </pic:spPr>
                </pic:pic>
              </a:graphicData>
            </a:graphic>
          </wp:inline>
        </w:drawing>
      </w:r>
    </w:p>
    <w:p>
      <w:pPr>
        <w:pStyle w:val="28"/>
        <w:spacing w:line="360" w:lineRule="auto"/>
        <w:rPr>
          <w:rFonts w:ascii="宋体" w:hAnsi="宋体" w:eastAsia="宋体" w:cs="宋体"/>
          <w:color w:val="auto"/>
        </w:rPr>
      </w:pPr>
      <w:r>
        <w:rPr>
          <w:rFonts w:hint="eastAsia" w:ascii="宋体" w:hAnsi="宋体" w:eastAsia="宋体" w:cs="宋体"/>
        </w:rPr>
        <w:drawing>
          <wp:inline distT="0" distB="0" distL="0" distR="0">
            <wp:extent cx="5196840" cy="361950"/>
            <wp:effectExtent l="19050" t="0" r="3810" b="0"/>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noChangeArrowheads="1"/>
                    </pic:cNvPicPr>
                  </pic:nvPicPr>
                  <pic:blipFill>
                    <a:blip r:embed="rId13"/>
                    <a:srcRect t="13636"/>
                    <a:stretch>
                      <a:fillRect/>
                    </a:stretch>
                  </pic:blipFill>
                  <pic:spPr>
                    <a:xfrm>
                      <a:off x="0" y="0"/>
                      <a:ext cx="5196840" cy="361950"/>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bookmarkStart w:id="42" w:name="OLE_LINK40"/>
      <w:bookmarkStart w:id="43" w:name="OLE_LINK41"/>
      <w:r>
        <w:rPr>
          <w:rFonts w:hint="eastAsia" w:ascii="宋体" w:hAnsi="宋体" w:eastAsia="宋体" w:cs="宋体"/>
          <w:color w:val="auto"/>
        </w:rPr>
        <w:t>图2.3-2 注册界面</w:t>
      </w:r>
    </w:p>
    <w:bookmarkEnd w:id="42"/>
    <w:bookmarkEnd w:id="43"/>
    <w:p>
      <w:pPr>
        <w:pStyle w:val="28"/>
        <w:spacing w:line="360" w:lineRule="auto"/>
        <w:ind w:firstLine="480" w:firstLineChars="200"/>
      </w:pPr>
      <w:bookmarkStart w:id="44" w:name="OLE_LINK43"/>
      <w:bookmarkStart w:id="45" w:name="OLE_LINK42"/>
      <w:r>
        <w:rPr>
          <w:rFonts w:hint="eastAsia"/>
        </w:rPr>
        <w:t>3、在上图，</w:t>
      </w:r>
      <w:bookmarkEnd w:id="44"/>
      <w:bookmarkEnd w:id="45"/>
      <w:r>
        <w:rPr>
          <w:rFonts w:hint="eastAsia"/>
        </w:rPr>
        <w:t>竞买人在注册界面选择业务：土地矿业权、耕指交易。然后点击“下一步”按钮进入“注册协议”界面。如下图所示：</w:t>
      </w:r>
    </w:p>
    <w:p>
      <w:pPr>
        <w:pStyle w:val="28"/>
        <w:spacing w:line="360" w:lineRule="auto"/>
        <w:rPr>
          <w:rFonts w:ascii="宋体" w:hAnsi="宋体" w:eastAsia="宋体" w:cs="宋体"/>
          <w:color w:val="auto"/>
        </w:rPr>
      </w:pPr>
      <w:r>
        <w:rPr>
          <w:rFonts w:ascii="宋体" w:hAnsi="宋体" w:eastAsia="宋体" w:cs="宋体"/>
        </w:rPr>
        <w:drawing>
          <wp:inline distT="0" distB="0" distL="0" distR="0">
            <wp:extent cx="5274310" cy="4057015"/>
            <wp:effectExtent l="19050" t="0" r="254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pic:cNvPicPr>
                      <a:picLocks noChangeAspect="1" noChangeArrowheads="1"/>
                    </pic:cNvPicPr>
                  </pic:nvPicPr>
                  <pic:blipFill>
                    <a:blip r:embed="rId14"/>
                    <a:srcRect/>
                    <a:stretch>
                      <a:fillRect/>
                    </a:stretch>
                  </pic:blipFill>
                  <pic:spPr>
                    <a:xfrm>
                      <a:off x="0" y="0"/>
                      <a:ext cx="5274310" cy="4057162"/>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bookmarkStart w:id="46" w:name="OLE_LINK45"/>
      <w:bookmarkStart w:id="47" w:name="OLE_LINK44"/>
      <w:r>
        <w:rPr>
          <w:rFonts w:hint="eastAsia" w:ascii="宋体" w:hAnsi="宋体" w:eastAsia="宋体" w:cs="宋体"/>
          <w:color w:val="auto"/>
        </w:rPr>
        <w:t>图2.3-3 注册界面</w:t>
      </w:r>
    </w:p>
    <w:bookmarkEnd w:id="46"/>
    <w:bookmarkEnd w:id="47"/>
    <w:p>
      <w:pPr>
        <w:pStyle w:val="28"/>
        <w:spacing w:line="360" w:lineRule="auto"/>
        <w:ind w:firstLine="480" w:firstLineChars="200"/>
        <w:rPr>
          <w:rFonts w:ascii="Calibri" w:hAnsi="Calibri"/>
        </w:rPr>
      </w:pPr>
      <w:bookmarkStart w:id="48" w:name="OLE_LINK47"/>
      <w:bookmarkStart w:id="49" w:name="OLE_LINK48"/>
      <w:bookmarkStart w:id="50" w:name="OLE_LINK46"/>
      <w:r>
        <w:rPr>
          <w:rFonts w:hint="eastAsia"/>
        </w:rPr>
        <w:t>4、在上图，</w:t>
      </w:r>
      <w:bookmarkEnd w:id="48"/>
      <w:bookmarkEnd w:id="49"/>
      <w:bookmarkEnd w:id="50"/>
      <w:r>
        <w:rPr>
          <w:rFonts w:hint="eastAsia"/>
        </w:rPr>
        <w:t>认真阅读协议内容，在“我已认真阅读以上所有须知内容”复选框打上“</w:t>
      </w:r>
      <w:r>
        <w:rPr>
          <w:rFonts w:hint="eastAsia" w:ascii="Calibri" w:hAnsi="Calibri"/>
        </w:rPr>
        <w:t>√”，再点击“下一步”按钮，进入“信息完善”界面。如下图所示：</w:t>
      </w:r>
    </w:p>
    <w:p>
      <w:pPr>
        <w:pStyle w:val="28"/>
        <w:spacing w:line="360" w:lineRule="auto"/>
        <w:rPr>
          <w:rFonts w:asciiTheme="minorEastAsia" w:hAnsiTheme="minorEastAsia"/>
        </w:rPr>
      </w:pPr>
      <w:r>
        <w:rPr>
          <w:rFonts w:hint="eastAsia" w:asciiTheme="minorEastAsia" w:hAnsiTheme="minorEastAsia"/>
        </w:rPr>
        <w:drawing>
          <wp:inline distT="0" distB="0" distL="0" distR="0">
            <wp:extent cx="5305425" cy="4391025"/>
            <wp:effectExtent l="19050" t="0" r="9525" b="0"/>
            <wp:docPr id="5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9"/>
                    <pic:cNvPicPr>
                      <a:picLocks noChangeAspect="1" noChangeArrowheads="1"/>
                    </pic:cNvPicPr>
                  </pic:nvPicPr>
                  <pic:blipFill>
                    <a:blip r:embed="rId15"/>
                    <a:srcRect/>
                    <a:stretch>
                      <a:fillRect/>
                    </a:stretch>
                  </pic:blipFill>
                  <pic:spPr>
                    <a:xfrm>
                      <a:off x="0" y="0"/>
                      <a:ext cx="5305425" cy="4391025"/>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r>
        <w:rPr>
          <w:rFonts w:hint="eastAsia" w:ascii="宋体" w:hAnsi="宋体" w:eastAsia="宋体" w:cs="宋体"/>
          <w:color w:val="auto"/>
        </w:rPr>
        <w:t>图2.3-4 注册界面</w:t>
      </w:r>
    </w:p>
    <w:p>
      <w:pPr>
        <w:pStyle w:val="28"/>
        <w:spacing w:line="360" w:lineRule="auto"/>
        <w:ind w:firstLine="480" w:firstLineChars="200"/>
      </w:pPr>
      <w:bookmarkStart w:id="51" w:name="OLE_LINK51"/>
      <w:bookmarkStart w:id="52" w:name="OLE_LINK50"/>
      <w:bookmarkStart w:id="53" w:name="OLE_LINK49"/>
      <w:r>
        <w:rPr>
          <w:rFonts w:hint="eastAsia"/>
        </w:rPr>
        <w:t>5、在上图</w:t>
      </w:r>
      <w:bookmarkEnd w:id="51"/>
      <w:bookmarkEnd w:id="52"/>
      <w:bookmarkEnd w:id="53"/>
      <w:r>
        <w:rPr>
          <w:rFonts w:hint="eastAsia"/>
        </w:rPr>
        <w:t>，竞买人填写详细资料，完成之后点击“下一步”按钮，进入“注册成功”界面（用户名、姓名、手机号等是唯一性）。如下图所示：</w:t>
      </w:r>
    </w:p>
    <w:p>
      <w:pPr>
        <w:pStyle w:val="28"/>
        <w:spacing w:line="360" w:lineRule="auto"/>
        <w:rPr>
          <w:rFonts w:ascii="宋体" w:hAnsi="宋体" w:eastAsia="宋体" w:cs="宋体"/>
          <w:color w:val="auto"/>
        </w:rPr>
      </w:pPr>
      <w:r>
        <w:rPr>
          <w:rFonts w:hint="eastAsia" w:ascii="宋体" w:hAnsi="宋体" w:eastAsia="宋体" w:cs="宋体"/>
        </w:rPr>
        <w:drawing>
          <wp:inline distT="0" distB="0" distL="0" distR="0">
            <wp:extent cx="5274310" cy="1170305"/>
            <wp:effectExtent l="19050" t="0" r="2540" b="0"/>
            <wp:docPr id="5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2"/>
                    <pic:cNvPicPr>
                      <a:picLocks noChangeAspect="1" noChangeArrowheads="1"/>
                    </pic:cNvPicPr>
                  </pic:nvPicPr>
                  <pic:blipFill>
                    <a:blip r:embed="rId16"/>
                    <a:srcRect/>
                    <a:stretch>
                      <a:fillRect/>
                    </a:stretch>
                  </pic:blipFill>
                  <pic:spPr>
                    <a:xfrm>
                      <a:off x="0" y="0"/>
                      <a:ext cx="5274310" cy="1170463"/>
                    </a:xfrm>
                    <a:prstGeom prst="rect">
                      <a:avLst/>
                    </a:prstGeom>
                    <a:noFill/>
                    <a:ln w="9525">
                      <a:noFill/>
                      <a:miter lim="800000"/>
                      <a:headEnd/>
                      <a:tailEnd/>
                    </a:ln>
                  </pic:spPr>
                </pic:pic>
              </a:graphicData>
            </a:graphic>
          </wp:inline>
        </w:drawing>
      </w:r>
    </w:p>
    <w:p>
      <w:pPr>
        <w:pStyle w:val="28"/>
        <w:spacing w:line="360" w:lineRule="auto"/>
        <w:jc w:val="center"/>
        <w:rPr>
          <w:rFonts w:ascii="宋体" w:hAnsi="宋体" w:eastAsia="宋体" w:cs="宋体"/>
          <w:color w:val="auto"/>
        </w:rPr>
      </w:pPr>
      <w:r>
        <w:rPr>
          <w:rFonts w:hint="eastAsia" w:ascii="宋体" w:hAnsi="宋体" w:eastAsia="宋体" w:cs="宋体"/>
          <w:color w:val="auto"/>
        </w:rPr>
        <w:t>图2.3-5 注册界面</w:t>
      </w:r>
    </w:p>
    <w:p>
      <w:pPr>
        <w:pStyle w:val="28"/>
        <w:spacing w:line="360" w:lineRule="auto"/>
        <w:ind w:firstLine="480" w:firstLineChars="200"/>
      </w:pPr>
      <w:r>
        <w:rPr>
          <w:rFonts w:hint="eastAsia"/>
        </w:rPr>
        <w:t>6、显示上图内容时，说明注册功能。</w:t>
      </w:r>
    </w:p>
    <w:p>
      <w:pPr>
        <w:pStyle w:val="2"/>
        <w:rPr>
          <w:szCs w:val="32"/>
        </w:rPr>
      </w:pPr>
      <w:bookmarkStart w:id="54" w:name="_Toc22719"/>
      <w:r>
        <w:rPr>
          <w:rFonts w:hint="eastAsia"/>
        </w:rPr>
        <w:t>3、</w:t>
      </w:r>
      <w:r>
        <w:rPr>
          <w:rFonts w:hint="eastAsia"/>
          <w:szCs w:val="32"/>
        </w:rPr>
        <w:t>申请竞买</w:t>
      </w:r>
      <w:bookmarkEnd w:id="54"/>
    </w:p>
    <w:p>
      <w:pPr>
        <w:pStyle w:val="3"/>
        <w:rPr>
          <w:szCs w:val="28"/>
        </w:rPr>
      </w:pPr>
      <w:bookmarkStart w:id="55" w:name="_Toc3038"/>
      <w:r>
        <w:rPr>
          <w:rFonts w:hint="eastAsia"/>
        </w:rPr>
        <w:t>3.1　</w:t>
      </w:r>
      <w:r>
        <w:rPr>
          <w:rFonts w:hint="eastAsia"/>
          <w:szCs w:val="28"/>
        </w:rPr>
        <w:t>土地申请竞买</w:t>
      </w:r>
      <w:bookmarkEnd w:id="55"/>
    </w:p>
    <w:p>
      <w:pPr>
        <w:pStyle w:val="28"/>
        <w:spacing w:line="360" w:lineRule="auto"/>
        <w:ind w:firstLine="480" w:firstLineChars="200"/>
      </w:pPr>
      <w:r>
        <w:rPr>
          <w:rFonts w:hint="eastAsia"/>
        </w:rPr>
        <w:t>1、当登陆之后，进入“河源市公共资源交易平台”。如下图所示：</w:t>
      </w:r>
    </w:p>
    <w:p>
      <w:pPr>
        <w:pStyle w:val="28"/>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600200"/>
            <wp:effectExtent l="19050" t="0" r="2540" b="0"/>
            <wp:docPr id="1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5"/>
                    <pic:cNvPicPr>
                      <a:picLocks noChangeAspect="1" noChangeArrowheads="1"/>
                    </pic:cNvPicPr>
                  </pic:nvPicPr>
                  <pic:blipFill>
                    <a:blip r:embed="rId17"/>
                    <a:srcRect b="25333"/>
                    <a:stretch>
                      <a:fillRect/>
                    </a:stretch>
                  </pic:blipFill>
                  <pic:spPr>
                    <a:xfrm>
                      <a:off x="0" y="0"/>
                      <a:ext cx="5274310" cy="160020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图3.1-1 交易平台</w:t>
      </w:r>
    </w:p>
    <w:p>
      <w:pPr>
        <w:pStyle w:val="28"/>
        <w:spacing w:line="360" w:lineRule="auto"/>
        <w:ind w:firstLine="480" w:firstLineChars="200"/>
      </w:pPr>
      <w:r>
        <w:rPr>
          <w:rFonts w:hint="eastAsia"/>
        </w:rPr>
        <w:t>2、在上图中，竞买人根据业务类型，点击“土地交易”进入“国有建设用地网上交易系统”首页。如下图所示：</w:t>
      </w:r>
    </w:p>
    <w:p>
      <w:pPr>
        <w:spacing w:line="360" w:lineRule="auto"/>
        <w:ind w:right="-57" w:rightChars="-27"/>
        <w:jc w:val="left"/>
      </w:pPr>
      <w:r>
        <w:rPr>
          <w:rFonts w:hint="eastAsia"/>
        </w:rPr>
        <w:drawing>
          <wp:inline distT="0" distB="0" distL="0" distR="0">
            <wp:extent cx="5324475" cy="2600325"/>
            <wp:effectExtent l="19050" t="0" r="9525" b="0"/>
            <wp:docPr id="1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8"/>
                    <pic:cNvPicPr>
                      <a:picLocks noChangeAspect="1" noChangeArrowheads="1"/>
                    </pic:cNvPicPr>
                  </pic:nvPicPr>
                  <pic:blipFill>
                    <a:blip r:embed="rId18"/>
                    <a:srcRect/>
                    <a:stretch>
                      <a:fillRect/>
                    </a:stretch>
                  </pic:blipFill>
                  <pic:spPr>
                    <a:xfrm>
                      <a:off x="0" y="0"/>
                      <a:ext cx="5324475" cy="260032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 xml:space="preserve">图3.1-2 </w:t>
      </w:r>
      <w:r>
        <w:rPr>
          <w:rFonts w:hint="eastAsia"/>
          <w:sz w:val="24"/>
          <w:szCs w:val="24"/>
        </w:rPr>
        <w:t>国有建设用地网上交易系统</w:t>
      </w:r>
      <w:r>
        <w:rPr>
          <w:rFonts w:hint="eastAsia" w:ascii="宋体" w:hAnsi="宋体" w:eastAsia="宋体"/>
          <w:sz w:val="24"/>
          <w:szCs w:val="24"/>
        </w:rPr>
        <w:t>首页</w:t>
      </w:r>
    </w:p>
    <w:p>
      <w:pPr>
        <w:pStyle w:val="28"/>
        <w:spacing w:line="360" w:lineRule="auto"/>
        <w:ind w:firstLine="480" w:firstLineChars="200"/>
      </w:pPr>
      <w:r>
        <w:rPr>
          <w:rFonts w:hint="eastAsia"/>
        </w:rPr>
        <w:t>3、在上图中，竞买人根据业务类型，点击“申请竞买”图片按钮或菜单栏“交易列表”――“交易公告”，进入“交易公告”界面。如下图所示：</w:t>
      </w:r>
    </w:p>
    <w:p>
      <w:pPr>
        <w:pStyle w:val="28"/>
        <w:spacing w:line="360" w:lineRule="auto"/>
      </w:pPr>
      <w:r>
        <w:rPr>
          <w:rFonts w:hint="eastAsia"/>
        </w:rPr>
        <w:drawing>
          <wp:inline distT="0" distB="0" distL="0" distR="0">
            <wp:extent cx="5274310" cy="3267075"/>
            <wp:effectExtent l="19050" t="0" r="2540" b="0"/>
            <wp:docPr id="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4"/>
                    <pic:cNvPicPr>
                      <a:picLocks noChangeAspect="1" noChangeArrowheads="1"/>
                    </pic:cNvPicPr>
                  </pic:nvPicPr>
                  <pic:blipFill>
                    <a:blip r:embed="rId19"/>
                    <a:srcRect/>
                    <a:stretch>
                      <a:fillRect/>
                    </a:stretch>
                  </pic:blipFill>
                  <pic:spPr>
                    <a:xfrm>
                      <a:off x="0" y="0"/>
                      <a:ext cx="5278434" cy="326963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图3.1-3 交易公告</w:t>
      </w:r>
    </w:p>
    <w:p>
      <w:pPr>
        <w:pStyle w:val="28"/>
        <w:spacing w:line="360" w:lineRule="auto"/>
        <w:ind w:firstLine="480" w:firstLineChars="200"/>
      </w:pPr>
      <w:r>
        <w:rPr>
          <w:rFonts w:hint="eastAsia"/>
        </w:rPr>
        <w:t>4、在上图中，竞买人根据业务需求，选择要竞价的标的，点击“直接购买”按钮，进入“竞买申请主界面”。如下图所示：</w:t>
      </w:r>
    </w:p>
    <w:p>
      <w:pPr>
        <w:spacing w:line="360" w:lineRule="auto"/>
        <w:ind w:left="480"/>
        <w:jc w:val="left"/>
        <w:rPr>
          <w:sz w:val="24"/>
          <w:szCs w:val="24"/>
        </w:rPr>
      </w:pPr>
      <w:r>
        <w:rPr>
          <w:rFonts w:hint="eastAsia"/>
          <w:sz w:val="24"/>
          <w:szCs w:val="24"/>
        </w:rPr>
        <w:drawing>
          <wp:inline distT="0" distB="0" distL="0" distR="0">
            <wp:extent cx="5038725" cy="3105150"/>
            <wp:effectExtent l="19050" t="0" r="9525" b="0"/>
            <wp:docPr id="1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7"/>
                    <pic:cNvPicPr>
                      <a:picLocks noChangeAspect="1" noChangeArrowheads="1"/>
                    </pic:cNvPicPr>
                  </pic:nvPicPr>
                  <pic:blipFill>
                    <a:blip r:embed="rId20"/>
                    <a:srcRect l="5784" r="8906"/>
                    <a:stretch>
                      <a:fillRect/>
                    </a:stretch>
                  </pic:blipFill>
                  <pic:spPr>
                    <a:xfrm>
                      <a:off x="0" y="0"/>
                      <a:ext cx="5038725" cy="310515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图3.1-4 竞买申请书</w:t>
      </w:r>
    </w:p>
    <w:p>
      <w:pPr>
        <w:pStyle w:val="28"/>
        <w:spacing w:line="360" w:lineRule="auto"/>
        <w:ind w:firstLine="480" w:firstLineChars="200"/>
      </w:pPr>
      <w:r>
        <w:rPr>
          <w:rFonts w:hint="eastAsia"/>
        </w:rPr>
        <w:t>5、在上图中，认真阅读竞买申请书内容，点击“同意”按钮，进入“竞买申请主界面”。如下图所示：</w:t>
      </w:r>
    </w:p>
    <w:p>
      <w:pPr>
        <w:spacing w:line="360" w:lineRule="auto"/>
        <w:jc w:val="left"/>
      </w:pPr>
    </w:p>
    <w:p>
      <w:pPr>
        <w:spacing w:line="360" w:lineRule="auto"/>
        <w:jc w:val="center"/>
        <w:rPr>
          <w:rFonts w:ascii="宋体" w:hAnsi="宋体" w:eastAsia="宋体"/>
          <w:sz w:val="24"/>
          <w:szCs w:val="24"/>
        </w:rPr>
      </w:pPr>
      <w:r>
        <w:rPr>
          <w:rFonts w:hint="eastAsia" w:ascii="宋体" w:hAnsi="宋体" w:eastAsia="宋体"/>
          <w:sz w:val="24"/>
          <w:szCs w:val="24"/>
        </w:rPr>
        <w:drawing>
          <wp:inline distT="0" distB="0" distL="0" distR="0">
            <wp:extent cx="5274310" cy="5330825"/>
            <wp:effectExtent l="19050" t="0" r="254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21"/>
                    <a:srcRect/>
                    <a:stretch>
                      <a:fillRect/>
                    </a:stretch>
                  </pic:blipFill>
                  <pic:spPr>
                    <a:xfrm>
                      <a:off x="0" y="0"/>
                      <a:ext cx="5274310" cy="533112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 xml:space="preserve">图3.1-5 </w:t>
      </w:r>
      <w:r>
        <w:rPr>
          <w:rFonts w:hint="eastAsia"/>
          <w:sz w:val="24"/>
          <w:szCs w:val="24"/>
        </w:rPr>
        <w:t>竞买申请主界面</w:t>
      </w:r>
    </w:p>
    <w:p>
      <w:pPr>
        <w:pStyle w:val="28"/>
        <w:spacing w:line="360" w:lineRule="auto"/>
        <w:ind w:firstLine="480" w:firstLineChars="200"/>
      </w:pPr>
      <w:r>
        <w:rPr>
          <w:rFonts w:hint="eastAsia"/>
        </w:rPr>
        <w:t>6、在上图中，选择“竞买方式”、“选择银行”和“拟成立项目公司”，填写正确信息后，点击“保存”即可进入“入帐申请单”界面。如下图所示：</w:t>
      </w:r>
    </w:p>
    <w:p>
      <w:pPr>
        <w:spacing w:line="360" w:lineRule="auto"/>
        <w:jc w:val="left"/>
        <w:rPr>
          <w:rFonts w:ascii="宋体" w:hAnsi="宋体" w:eastAsia="宋体"/>
          <w:sz w:val="24"/>
          <w:szCs w:val="24"/>
        </w:rPr>
      </w:pPr>
    </w:p>
    <w:p>
      <w:pPr>
        <w:spacing w:line="360" w:lineRule="auto"/>
        <w:jc w:val="left"/>
        <w:rPr>
          <w:rFonts w:ascii="宋体" w:hAnsi="宋体" w:eastAsia="宋体"/>
          <w:sz w:val="24"/>
          <w:szCs w:val="24"/>
        </w:rPr>
      </w:pPr>
      <w:r>
        <w:rPr>
          <w:rFonts w:hint="eastAsia" w:ascii="宋体" w:hAnsi="宋体" w:eastAsia="宋体"/>
          <w:sz w:val="24"/>
          <w:szCs w:val="24"/>
        </w:rPr>
        <w:drawing>
          <wp:inline distT="0" distB="0" distL="0" distR="0">
            <wp:extent cx="5266690" cy="2733675"/>
            <wp:effectExtent l="19050" t="0" r="0" b="0"/>
            <wp:docPr id="1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6"/>
                    <pic:cNvPicPr>
                      <a:picLocks noChangeAspect="1" noChangeArrowheads="1"/>
                    </pic:cNvPicPr>
                  </pic:nvPicPr>
                  <pic:blipFill>
                    <a:blip r:embed="rId22"/>
                    <a:srcRect/>
                    <a:stretch>
                      <a:fillRect/>
                    </a:stretch>
                  </pic:blipFill>
                  <pic:spPr>
                    <a:xfrm>
                      <a:off x="0" y="0"/>
                      <a:ext cx="5274310" cy="2737521"/>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图3.1-6 入帐申请单</w:t>
      </w:r>
    </w:p>
    <w:p>
      <w:pPr>
        <w:pStyle w:val="28"/>
        <w:spacing w:line="360" w:lineRule="auto"/>
        <w:ind w:firstLine="480" w:firstLineChars="200"/>
      </w:pPr>
      <w:r>
        <w:rPr>
          <w:rFonts w:hint="eastAsia"/>
        </w:rPr>
        <w:t>7、在上图中，竞买人可以把入帐申请单打印出来，方便竞买人交纳保证金。当竞买人在有效时间交纳足额保证金后，竞买资格开通，同时交易系统会发送“竞买资格开通”的相关短信给竞买人，竞买人收到短信后可以参与网上竞价。</w:t>
      </w:r>
    </w:p>
    <w:p>
      <w:pPr>
        <w:pStyle w:val="3"/>
        <w:rPr>
          <w:szCs w:val="28"/>
        </w:rPr>
      </w:pPr>
      <w:bookmarkStart w:id="56" w:name="_Toc2381"/>
      <w:r>
        <w:rPr>
          <w:rFonts w:hint="eastAsia"/>
        </w:rPr>
        <w:t>3.2　</w:t>
      </w:r>
      <w:r>
        <w:rPr>
          <w:rFonts w:hint="eastAsia"/>
          <w:szCs w:val="28"/>
        </w:rPr>
        <w:t>矿业申请竞买</w:t>
      </w:r>
      <w:bookmarkEnd w:id="56"/>
    </w:p>
    <w:p>
      <w:pPr>
        <w:pStyle w:val="28"/>
        <w:spacing w:line="360" w:lineRule="auto"/>
        <w:ind w:firstLine="480" w:firstLineChars="200"/>
      </w:pPr>
      <w:r>
        <w:rPr>
          <w:rFonts w:hint="eastAsia"/>
        </w:rPr>
        <w:t>1、当登陆之后，进入“河源市公共资源交易平台”。如下图所示：</w:t>
      </w:r>
    </w:p>
    <w:p>
      <w:pPr>
        <w:pStyle w:val="28"/>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600200"/>
            <wp:effectExtent l="19050" t="0" r="2540" b="0"/>
            <wp:docPr id="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5"/>
                    <pic:cNvPicPr>
                      <a:picLocks noChangeAspect="1" noChangeArrowheads="1"/>
                    </pic:cNvPicPr>
                  </pic:nvPicPr>
                  <pic:blipFill>
                    <a:blip r:embed="rId17"/>
                    <a:srcRect b="25333"/>
                    <a:stretch>
                      <a:fillRect/>
                    </a:stretch>
                  </pic:blipFill>
                  <pic:spPr>
                    <a:xfrm>
                      <a:off x="0" y="0"/>
                      <a:ext cx="5274310" cy="160020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图3.2-1 交易平台</w:t>
      </w:r>
    </w:p>
    <w:p>
      <w:pPr>
        <w:pStyle w:val="28"/>
        <w:spacing w:line="360" w:lineRule="auto"/>
        <w:ind w:firstLine="480" w:firstLineChars="200"/>
      </w:pPr>
      <w:r>
        <w:rPr>
          <w:rFonts w:hint="eastAsia"/>
        </w:rPr>
        <w:t>2、在上图中，竞买人根据业务类型，点击 “矿业交易”按钮进入 “矿业权网上交易系统” 首页。如下图所示：</w:t>
      </w:r>
    </w:p>
    <w:p>
      <w:pPr>
        <w:spacing w:line="360" w:lineRule="auto"/>
        <w:ind w:right="-57" w:rightChars="-27"/>
        <w:jc w:val="left"/>
      </w:pPr>
      <w:r>
        <w:drawing>
          <wp:inline distT="0" distB="0" distL="0" distR="0">
            <wp:extent cx="5274310" cy="2599690"/>
            <wp:effectExtent l="19050" t="0" r="2540" b="0"/>
            <wp:docPr id="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3"/>
                    <pic:cNvPicPr>
                      <a:picLocks noChangeAspect="1" noChangeArrowheads="1"/>
                    </pic:cNvPicPr>
                  </pic:nvPicPr>
                  <pic:blipFill>
                    <a:blip r:embed="rId23"/>
                    <a:srcRect/>
                    <a:stretch>
                      <a:fillRect/>
                    </a:stretch>
                  </pic:blipFill>
                  <pic:spPr>
                    <a:xfrm>
                      <a:off x="0" y="0"/>
                      <a:ext cx="5274310" cy="259986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图3.2-2 矿业首页</w:t>
      </w:r>
    </w:p>
    <w:p>
      <w:pPr>
        <w:pStyle w:val="28"/>
        <w:spacing w:line="360" w:lineRule="auto"/>
        <w:ind w:firstLine="480" w:firstLineChars="200"/>
      </w:pPr>
      <w:r>
        <w:rPr>
          <w:rFonts w:hint="eastAsia"/>
        </w:rPr>
        <w:t>3、在上图中，竞买人根据业务类型，点击“申请竞买”图片按钮或菜单栏“交易列表”――“交易公告”，进入“交易公告”界面。如下图所示：</w:t>
      </w:r>
    </w:p>
    <w:p>
      <w:pPr>
        <w:pStyle w:val="28"/>
        <w:spacing w:line="360" w:lineRule="auto"/>
      </w:pPr>
      <w:r>
        <w:drawing>
          <wp:inline distT="0" distB="0" distL="0" distR="0">
            <wp:extent cx="5274310" cy="2762250"/>
            <wp:effectExtent l="19050" t="0" r="2540" b="0"/>
            <wp:docPr id="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4"/>
                    <pic:cNvPicPr>
                      <a:picLocks noChangeAspect="1" noChangeArrowheads="1"/>
                    </pic:cNvPicPr>
                  </pic:nvPicPr>
                  <pic:blipFill>
                    <a:blip r:embed="rId24"/>
                    <a:srcRect/>
                    <a:stretch>
                      <a:fillRect/>
                    </a:stretch>
                  </pic:blipFill>
                  <pic:spPr>
                    <a:xfrm>
                      <a:off x="0" y="0"/>
                      <a:ext cx="5278613" cy="2764503"/>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图3.2-3 交易公告</w:t>
      </w:r>
    </w:p>
    <w:p>
      <w:pPr>
        <w:pStyle w:val="28"/>
        <w:spacing w:line="360" w:lineRule="auto"/>
        <w:ind w:firstLine="480" w:firstLineChars="200"/>
      </w:pPr>
      <w:r>
        <w:rPr>
          <w:rFonts w:hint="eastAsia"/>
        </w:rPr>
        <w:t>4、在上图中，竞买人根据业务需求，选择要竞价的标的，点击“直接购买”按钮，进入“竞买申请主界面”。如下图所示：</w:t>
      </w:r>
    </w:p>
    <w:p>
      <w:pPr>
        <w:spacing w:line="360" w:lineRule="auto"/>
        <w:jc w:val="left"/>
        <w:rPr>
          <w:sz w:val="24"/>
          <w:szCs w:val="24"/>
        </w:rPr>
      </w:pPr>
      <w:r>
        <w:rPr>
          <w:sz w:val="24"/>
          <w:szCs w:val="24"/>
        </w:rPr>
        <w:drawing>
          <wp:inline distT="0" distB="0" distL="0" distR="0">
            <wp:extent cx="5274310" cy="3753485"/>
            <wp:effectExtent l="19050" t="0" r="254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noChangeArrowheads="1"/>
                    </pic:cNvPicPr>
                  </pic:nvPicPr>
                  <pic:blipFill>
                    <a:blip r:embed="rId25"/>
                    <a:srcRect/>
                    <a:stretch>
                      <a:fillRect/>
                    </a:stretch>
                  </pic:blipFill>
                  <pic:spPr>
                    <a:xfrm>
                      <a:off x="0" y="0"/>
                      <a:ext cx="5274310" cy="3753788"/>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图3.2-4 竞买申请书</w:t>
      </w:r>
    </w:p>
    <w:p>
      <w:pPr>
        <w:pStyle w:val="28"/>
        <w:spacing w:line="360" w:lineRule="auto"/>
        <w:ind w:firstLine="480" w:firstLineChars="200"/>
      </w:pPr>
      <w:r>
        <w:rPr>
          <w:rFonts w:hint="eastAsia"/>
        </w:rPr>
        <w:t>5、在上图中，认真阅读竞买申请书内容，点击“同意”按钮，进入“竞买申请主界面”。如下图所示：</w:t>
      </w:r>
    </w:p>
    <w:p>
      <w:pPr>
        <w:spacing w:line="360" w:lineRule="auto"/>
        <w:jc w:val="left"/>
      </w:pPr>
      <w:r>
        <w:drawing>
          <wp:inline distT="0" distB="0" distL="0" distR="0">
            <wp:extent cx="5274310" cy="2416175"/>
            <wp:effectExtent l="19050" t="0" r="2540" b="0"/>
            <wp:docPr id="2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6"/>
                    <pic:cNvPicPr>
                      <a:picLocks noChangeAspect="1" noChangeArrowheads="1"/>
                    </pic:cNvPicPr>
                  </pic:nvPicPr>
                  <pic:blipFill>
                    <a:blip r:embed="rId26"/>
                    <a:srcRect/>
                    <a:stretch>
                      <a:fillRect/>
                    </a:stretch>
                  </pic:blipFill>
                  <pic:spPr>
                    <a:xfrm>
                      <a:off x="0" y="0"/>
                      <a:ext cx="5274310" cy="2416517"/>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图3.2-5 竞买方式</w:t>
      </w:r>
    </w:p>
    <w:p>
      <w:pPr>
        <w:pStyle w:val="28"/>
        <w:spacing w:line="360" w:lineRule="auto"/>
        <w:ind w:firstLine="480" w:firstLineChars="200"/>
      </w:pPr>
      <w:r>
        <w:rPr>
          <w:rFonts w:hint="eastAsia"/>
        </w:rPr>
        <w:t>6、在上图中，选择“竞买方式”、“选择银行”和“拟成立项目公司”，填写正确信息后，点击“保存”即可进入“入帐申请单”界面。如下图所示：</w:t>
      </w:r>
    </w:p>
    <w:p>
      <w:pPr>
        <w:spacing w:line="360" w:lineRule="auto"/>
        <w:jc w:val="left"/>
        <w:rPr>
          <w:rFonts w:ascii="宋体" w:hAnsi="宋体" w:eastAsia="宋体"/>
          <w:sz w:val="24"/>
          <w:szCs w:val="24"/>
        </w:rPr>
      </w:pPr>
      <w:r>
        <w:rPr>
          <w:rFonts w:ascii="宋体" w:hAnsi="宋体" w:eastAsia="宋体"/>
          <w:sz w:val="24"/>
          <w:szCs w:val="24"/>
        </w:rPr>
        <w:drawing>
          <wp:inline distT="0" distB="0" distL="0" distR="0">
            <wp:extent cx="5274310" cy="2247265"/>
            <wp:effectExtent l="19050" t="0" r="2540" b="0"/>
            <wp:docPr id="2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9"/>
                    <pic:cNvPicPr>
                      <a:picLocks noChangeAspect="1" noChangeArrowheads="1"/>
                    </pic:cNvPicPr>
                  </pic:nvPicPr>
                  <pic:blipFill>
                    <a:blip r:embed="rId27"/>
                    <a:srcRect/>
                    <a:stretch>
                      <a:fillRect/>
                    </a:stretch>
                  </pic:blipFill>
                  <pic:spPr>
                    <a:xfrm>
                      <a:off x="0" y="0"/>
                      <a:ext cx="5274310" cy="2247724"/>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图3.2-6 入帐申请单</w:t>
      </w:r>
    </w:p>
    <w:p>
      <w:pPr>
        <w:pStyle w:val="28"/>
        <w:spacing w:line="360" w:lineRule="auto"/>
        <w:ind w:firstLine="480" w:firstLineChars="200"/>
      </w:pPr>
      <w:r>
        <w:rPr>
          <w:rFonts w:hint="eastAsia"/>
        </w:rPr>
        <w:t>7、在上图中，竞买人可以把入帐申请单打印出来，方便竞买人交纳保证金。当竞买人在有效时间交纳足额保证金后，竞买资格开通，同时交易系统会发送“竞买资格开通”的相关短信给竞买人，竞买人收到短信后可以参与网上竞价。</w:t>
      </w:r>
    </w:p>
    <w:p>
      <w:pPr>
        <w:pStyle w:val="2"/>
        <w:rPr>
          <w:szCs w:val="32"/>
        </w:rPr>
      </w:pPr>
      <w:bookmarkStart w:id="57" w:name="_Toc13836"/>
      <w:r>
        <w:rPr>
          <w:rFonts w:hint="eastAsia"/>
        </w:rPr>
        <w:t>4、</w:t>
      </w:r>
      <w:r>
        <w:rPr>
          <w:rFonts w:hint="eastAsia"/>
          <w:szCs w:val="32"/>
        </w:rPr>
        <w:t>网上竞价</w:t>
      </w:r>
      <w:bookmarkEnd w:id="57"/>
    </w:p>
    <w:p>
      <w:pPr>
        <w:pStyle w:val="3"/>
        <w:rPr>
          <w:szCs w:val="28"/>
        </w:rPr>
      </w:pPr>
      <w:bookmarkStart w:id="58" w:name="_Toc17497"/>
      <w:r>
        <w:rPr>
          <w:rFonts w:hint="eastAsia"/>
        </w:rPr>
        <w:t>4.1　</w:t>
      </w:r>
      <w:r>
        <w:rPr>
          <w:rFonts w:hint="eastAsia"/>
          <w:szCs w:val="28"/>
        </w:rPr>
        <w:t>土地网上竞价</w:t>
      </w:r>
      <w:bookmarkEnd w:id="58"/>
    </w:p>
    <w:p>
      <w:pPr>
        <w:pStyle w:val="28"/>
        <w:spacing w:line="360" w:lineRule="auto"/>
        <w:ind w:firstLine="480" w:firstLineChars="200"/>
      </w:pPr>
      <w:r>
        <w:rPr>
          <w:rFonts w:hint="eastAsia"/>
        </w:rPr>
        <w:t>1、当登陆之后，进入“河源市公共资源交易平台”。如下图所示：</w:t>
      </w:r>
    </w:p>
    <w:p>
      <w:pPr>
        <w:pStyle w:val="28"/>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600200"/>
            <wp:effectExtent l="19050" t="0" r="2540" b="0"/>
            <wp:docPr id="1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5"/>
                    <pic:cNvPicPr>
                      <a:picLocks noChangeAspect="1" noChangeArrowheads="1"/>
                    </pic:cNvPicPr>
                  </pic:nvPicPr>
                  <pic:blipFill>
                    <a:blip r:embed="rId17"/>
                    <a:srcRect b="25333"/>
                    <a:stretch>
                      <a:fillRect/>
                    </a:stretch>
                  </pic:blipFill>
                  <pic:spPr>
                    <a:xfrm>
                      <a:off x="0" y="0"/>
                      <a:ext cx="5274310" cy="160020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图4.1-1 交易平台</w:t>
      </w:r>
    </w:p>
    <w:p>
      <w:pPr>
        <w:pStyle w:val="28"/>
        <w:spacing w:line="360" w:lineRule="auto"/>
        <w:ind w:firstLine="480" w:firstLineChars="200"/>
      </w:pPr>
      <w:r>
        <w:rPr>
          <w:rFonts w:hint="eastAsia"/>
        </w:rPr>
        <w:t>2、在上图中，竞买人根据业务类型，点击“土地交易”按钮,进入“国有建设用地网上交易系统”首页。如下图所示：</w:t>
      </w:r>
    </w:p>
    <w:p>
      <w:pPr>
        <w:spacing w:line="360" w:lineRule="auto"/>
        <w:ind w:right="-57" w:rightChars="-27"/>
        <w:jc w:val="left"/>
      </w:pPr>
      <w:r>
        <w:rPr>
          <w:rFonts w:hint="eastAsia"/>
        </w:rPr>
        <w:drawing>
          <wp:inline distT="0" distB="0" distL="0" distR="0">
            <wp:extent cx="5274310" cy="2152650"/>
            <wp:effectExtent l="19050" t="0" r="2540" b="0"/>
            <wp:docPr id="1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8"/>
                    <pic:cNvPicPr>
                      <a:picLocks noChangeAspect="1" noChangeArrowheads="1"/>
                    </pic:cNvPicPr>
                  </pic:nvPicPr>
                  <pic:blipFill>
                    <a:blip r:embed="rId18"/>
                    <a:srcRect/>
                    <a:stretch>
                      <a:fillRect/>
                    </a:stretch>
                  </pic:blipFill>
                  <pic:spPr>
                    <a:xfrm>
                      <a:off x="0" y="0"/>
                      <a:ext cx="5274310" cy="215265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 xml:space="preserve">图4.1-2 </w:t>
      </w:r>
      <w:r>
        <w:rPr>
          <w:rFonts w:hint="eastAsia"/>
          <w:sz w:val="24"/>
          <w:szCs w:val="24"/>
        </w:rPr>
        <w:t>国有建设用地网上交易系统</w:t>
      </w:r>
      <w:r>
        <w:rPr>
          <w:rFonts w:hint="eastAsia" w:ascii="宋体" w:hAnsi="宋体" w:eastAsia="宋体"/>
          <w:sz w:val="24"/>
          <w:szCs w:val="24"/>
        </w:rPr>
        <w:t>首页</w:t>
      </w:r>
    </w:p>
    <w:p>
      <w:pPr>
        <w:pStyle w:val="28"/>
        <w:spacing w:line="360" w:lineRule="auto"/>
        <w:ind w:firstLine="480" w:firstLineChars="200"/>
      </w:pPr>
      <w:r>
        <w:rPr>
          <w:rFonts w:hint="eastAsia"/>
        </w:rPr>
        <w:t>3、在上图中，竞买人根据业务类型，点击“网上竞价”图片按钮，进入“土地竞买主界面”。如下图所示：</w:t>
      </w:r>
    </w:p>
    <w:p>
      <w:pPr>
        <w:pStyle w:val="28"/>
        <w:spacing w:line="360" w:lineRule="auto"/>
        <w:ind w:right="-57" w:rightChars="-27"/>
      </w:pPr>
      <w:r>
        <w:drawing>
          <wp:inline distT="0" distB="0" distL="0" distR="0">
            <wp:extent cx="5274310" cy="2686050"/>
            <wp:effectExtent l="19050" t="0" r="2540" b="0"/>
            <wp:docPr id="12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7"/>
                    <pic:cNvPicPr>
                      <a:picLocks noChangeAspect="1" noChangeArrowheads="1"/>
                    </pic:cNvPicPr>
                  </pic:nvPicPr>
                  <pic:blipFill>
                    <a:blip r:embed="rId28"/>
                    <a:srcRect/>
                    <a:stretch>
                      <a:fillRect/>
                    </a:stretch>
                  </pic:blipFill>
                  <pic:spPr>
                    <a:xfrm>
                      <a:off x="0" y="0"/>
                      <a:ext cx="5274310" cy="268605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图4.1-3 土地竞买主界面</w:t>
      </w:r>
    </w:p>
    <w:p>
      <w:pPr>
        <w:pStyle w:val="28"/>
        <w:spacing w:line="360" w:lineRule="auto"/>
        <w:ind w:firstLine="480" w:firstLineChars="200"/>
      </w:pPr>
      <w:r>
        <w:rPr>
          <w:rFonts w:hint="eastAsia"/>
        </w:rPr>
        <w:t>4、在上图中，竞买人确认竞买出价的金额正确后，点击“土地竞买主界面”里面的“我要出价”按钮，弹出对话框，点击“确定”即表示出价成功。</w:t>
      </w:r>
    </w:p>
    <w:p>
      <w:pPr>
        <w:pStyle w:val="28"/>
        <w:spacing w:line="360" w:lineRule="auto"/>
        <w:ind w:firstLine="480" w:firstLineChars="200"/>
      </w:pPr>
      <w:r>
        <w:rPr>
          <w:rFonts w:hint="eastAsia"/>
        </w:rPr>
        <w:t>5、在上图中，默认每次竞买出价的幅度为增价幅度。</w:t>
      </w:r>
    </w:p>
    <w:p>
      <w:pPr>
        <w:pStyle w:val="28"/>
        <w:spacing w:line="360" w:lineRule="auto"/>
        <w:ind w:firstLine="480" w:firstLineChars="200"/>
      </w:pPr>
      <w:r>
        <w:rPr>
          <w:rFonts w:hint="eastAsia"/>
        </w:rPr>
        <w:t>6、在上图中，限时竞价在最后一个竞买人竞价时间的基础上加五分钟。</w:t>
      </w:r>
    </w:p>
    <w:p>
      <w:pPr>
        <w:pStyle w:val="28"/>
        <w:spacing w:line="360" w:lineRule="auto"/>
        <w:ind w:firstLine="480" w:firstLineChars="200"/>
      </w:pPr>
      <w:r>
        <w:rPr>
          <w:rFonts w:hint="eastAsia"/>
        </w:rPr>
        <w:t>7、在上图中，当无竞买人出价，系统自动流拍。</w:t>
      </w:r>
    </w:p>
    <w:p>
      <w:pPr>
        <w:pStyle w:val="28"/>
        <w:spacing w:line="360" w:lineRule="auto"/>
        <w:ind w:firstLine="480" w:firstLineChars="200"/>
      </w:pPr>
      <w:r>
        <w:rPr>
          <w:rFonts w:hint="eastAsia"/>
        </w:rPr>
        <w:t>8、在上图中，当有竞买人出价，在规定时间内，最高出价竞买人为竞得人。</w:t>
      </w:r>
    </w:p>
    <w:p>
      <w:pPr>
        <w:pStyle w:val="3"/>
        <w:rPr>
          <w:szCs w:val="28"/>
        </w:rPr>
      </w:pPr>
      <w:bookmarkStart w:id="59" w:name="_Toc4294"/>
      <w:r>
        <w:rPr>
          <w:rFonts w:hint="eastAsia"/>
        </w:rPr>
        <w:t>4.2　</w:t>
      </w:r>
      <w:r>
        <w:rPr>
          <w:rFonts w:hint="eastAsia"/>
          <w:szCs w:val="28"/>
        </w:rPr>
        <w:t>矿业网上竞价</w:t>
      </w:r>
      <w:bookmarkEnd w:id="59"/>
    </w:p>
    <w:p>
      <w:pPr>
        <w:pStyle w:val="28"/>
        <w:spacing w:line="360" w:lineRule="auto"/>
        <w:ind w:firstLine="480" w:firstLineChars="200"/>
      </w:pPr>
      <w:r>
        <w:rPr>
          <w:rFonts w:hint="eastAsia"/>
        </w:rPr>
        <w:t>1、当登陆之后，进入“河源市公共资源交易平台”。如下图所示：</w:t>
      </w:r>
    </w:p>
    <w:p>
      <w:pPr>
        <w:pStyle w:val="28"/>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600200"/>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7"/>
                    <a:srcRect b="25333"/>
                    <a:stretch>
                      <a:fillRect/>
                    </a:stretch>
                  </pic:blipFill>
                  <pic:spPr>
                    <a:xfrm>
                      <a:off x="0" y="0"/>
                      <a:ext cx="5274310" cy="160020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图4.2-1 交易平台</w:t>
      </w:r>
    </w:p>
    <w:p>
      <w:pPr>
        <w:pStyle w:val="28"/>
        <w:spacing w:line="360" w:lineRule="auto"/>
        <w:ind w:firstLine="480" w:firstLineChars="200"/>
      </w:pPr>
      <w:r>
        <w:rPr>
          <w:rFonts w:hint="eastAsia"/>
        </w:rPr>
        <w:t>2、在上图中，竞买人根据业务类型，点击“矿业交易”按钮,进入“矿业权网上交易系统”首页。如下图所示：</w:t>
      </w:r>
    </w:p>
    <w:p>
      <w:pPr>
        <w:spacing w:line="360" w:lineRule="auto"/>
        <w:ind w:right="-57" w:rightChars="-27"/>
        <w:jc w:val="left"/>
      </w:pPr>
      <w:r>
        <w:drawing>
          <wp:inline distT="0" distB="0" distL="0" distR="0">
            <wp:extent cx="5274310" cy="2599690"/>
            <wp:effectExtent l="19050" t="0" r="2540" b="0"/>
            <wp:docPr id="2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3"/>
                    <pic:cNvPicPr>
                      <a:picLocks noChangeAspect="1" noChangeArrowheads="1"/>
                    </pic:cNvPicPr>
                  </pic:nvPicPr>
                  <pic:blipFill>
                    <a:blip r:embed="rId23"/>
                    <a:srcRect/>
                    <a:stretch>
                      <a:fillRect/>
                    </a:stretch>
                  </pic:blipFill>
                  <pic:spPr>
                    <a:xfrm>
                      <a:off x="0" y="0"/>
                      <a:ext cx="5274310" cy="259986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图4.2-2 矿业首页</w:t>
      </w:r>
    </w:p>
    <w:p>
      <w:pPr>
        <w:pStyle w:val="28"/>
        <w:spacing w:line="360" w:lineRule="auto"/>
        <w:ind w:firstLine="480" w:firstLineChars="200"/>
      </w:pPr>
      <w:r>
        <w:rPr>
          <w:rFonts w:hint="eastAsia"/>
        </w:rPr>
        <w:t>3、在上图中，竞买人根据业务类型，点击“网上竞价”图片按钮，进入“竞买主界面”。如下图所示：</w:t>
      </w:r>
    </w:p>
    <w:p>
      <w:pPr>
        <w:pStyle w:val="28"/>
        <w:spacing w:line="360" w:lineRule="auto"/>
        <w:ind w:right="-57" w:rightChars="-27"/>
      </w:pPr>
      <w:r>
        <w:drawing>
          <wp:inline distT="0" distB="0" distL="0" distR="0">
            <wp:extent cx="5219700" cy="3207385"/>
            <wp:effectExtent l="19050" t="0" r="0" b="0"/>
            <wp:docPr id="2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0"/>
                    <pic:cNvPicPr>
                      <a:picLocks noChangeAspect="1" noChangeArrowheads="1"/>
                    </pic:cNvPicPr>
                  </pic:nvPicPr>
                  <pic:blipFill>
                    <a:blip r:embed="rId29"/>
                    <a:srcRect/>
                    <a:stretch>
                      <a:fillRect/>
                    </a:stretch>
                  </pic:blipFill>
                  <pic:spPr>
                    <a:xfrm>
                      <a:off x="0" y="0"/>
                      <a:ext cx="5219700" cy="3207706"/>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图4.2-3 竞买主界面</w:t>
      </w:r>
    </w:p>
    <w:p>
      <w:pPr>
        <w:pStyle w:val="28"/>
        <w:spacing w:line="360" w:lineRule="auto"/>
        <w:ind w:firstLine="480" w:firstLineChars="200"/>
      </w:pPr>
      <w:r>
        <w:rPr>
          <w:rFonts w:hint="eastAsia"/>
        </w:rPr>
        <w:t>4、在上图中，竞买人确认竞买出价的金额正确后，点击“竞买主界面”里面的“我要出价”按钮，弹出对话框，点击“确定”即表示出价成功。</w:t>
      </w:r>
    </w:p>
    <w:p>
      <w:pPr>
        <w:pStyle w:val="28"/>
        <w:spacing w:line="360" w:lineRule="auto"/>
        <w:ind w:firstLine="480" w:firstLineChars="200"/>
      </w:pPr>
      <w:r>
        <w:rPr>
          <w:rFonts w:hint="eastAsia"/>
        </w:rPr>
        <w:t>5、在上图中，默认每次竞买出价的幅度为增价幅度。</w:t>
      </w:r>
    </w:p>
    <w:p>
      <w:pPr>
        <w:pStyle w:val="28"/>
        <w:spacing w:line="360" w:lineRule="auto"/>
        <w:ind w:firstLine="480" w:firstLineChars="200"/>
      </w:pPr>
      <w:r>
        <w:rPr>
          <w:rFonts w:hint="eastAsia"/>
        </w:rPr>
        <w:t>6、在上图中，限时竞价在最后一个竞买人竞价时间的基础上加五分钟。</w:t>
      </w:r>
    </w:p>
    <w:p>
      <w:pPr>
        <w:pStyle w:val="28"/>
        <w:spacing w:line="360" w:lineRule="auto"/>
        <w:ind w:firstLine="480" w:firstLineChars="200"/>
      </w:pPr>
      <w:r>
        <w:rPr>
          <w:rFonts w:hint="eastAsia"/>
        </w:rPr>
        <w:t>7、在上图中，当无竞买人出价，系统自动流拍。</w:t>
      </w:r>
    </w:p>
    <w:p>
      <w:pPr>
        <w:pStyle w:val="28"/>
        <w:spacing w:line="360" w:lineRule="auto"/>
        <w:ind w:firstLine="480" w:firstLineChars="200"/>
      </w:pPr>
      <w:r>
        <w:rPr>
          <w:rFonts w:hint="eastAsia"/>
        </w:rPr>
        <w:t>8、在上图中，当有竞买人出价，在规定时间内，最高出价竞买人为竞得人。</w:t>
      </w:r>
    </w:p>
    <w:p>
      <w:pPr>
        <w:pStyle w:val="28"/>
        <w:spacing w:line="360" w:lineRule="auto"/>
      </w:pPr>
    </w:p>
    <w:p>
      <w:pPr>
        <w:pStyle w:val="2"/>
        <w:rPr>
          <w:szCs w:val="32"/>
        </w:rPr>
      </w:pPr>
      <w:bookmarkStart w:id="60" w:name="_Toc26284"/>
      <w:r>
        <w:rPr>
          <w:rFonts w:hint="eastAsia"/>
        </w:rPr>
        <w:t>5、</w:t>
      </w:r>
      <w:r>
        <w:rPr>
          <w:rFonts w:hint="eastAsia"/>
          <w:szCs w:val="32"/>
        </w:rPr>
        <w:t>土地交易</w:t>
      </w:r>
      <w:bookmarkEnd w:id="60"/>
    </w:p>
    <w:bookmarkEnd w:id="18"/>
    <w:bookmarkEnd w:id="37"/>
    <w:bookmarkEnd w:id="38"/>
    <w:p>
      <w:pPr>
        <w:pStyle w:val="3"/>
        <w:rPr>
          <w:szCs w:val="28"/>
        </w:rPr>
      </w:pPr>
      <w:bookmarkStart w:id="61" w:name="_Toc4069"/>
      <w:r>
        <w:rPr>
          <w:rFonts w:hint="eastAsia"/>
        </w:rPr>
        <w:t>5.1　</w:t>
      </w:r>
      <w:r>
        <w:rPr>
          <w:rFonts w:hint="eastAsia"/>
          <w:szCs w:val="28"/>
        </w:rPr>
        <w:t>交易列表</w:t>
      </w:r>
      <w:bookmarkEnd w:id="61"/>
    </w:p>
    <w:p>
      <w:pPr>
        <w:pStyle w:val="4"/>
      </w:pPr>
      <w:bookmarkStart w:id="62" w:name="_Toc15914"/>
      <w:r>
        <w:rPr>
          <w:rFonts w:hint="eastAsia"/>
        </w:rPr>
        <w:t>5.1.1　交易公告</w:t>
      </w:r>
      <w:bookmarkEnd w:id="62"/>
    </w:p>
    <w:p>
      <w:pPr>
        <w:pStyle w:val="28"/>
        <w:spacing w:line="360" w:lineRule="auto"/>
        <w:ind w:firstLine="480" w:firstLineChars="200"/>
      </w:pPr>
      <w:r>
        <w:rPr>
          <w:rFonts w:hint="eastAsia"/>
        </w:rPr>
        <w:t>1、在菜单栏选择点击“交易列表”</w:t>
      </w:r>
      <w:r>
        <w:t>-</w:t>
      </w:r>
      <w:r>
        <w:rPr>
          <w:rFonts w:hint="eastAsia"/>
        </w:rPr>
        <w:t>“交易公告”。如下图所示：</w:t>
      </w:r>
    </w:p>
    <w:p>
      <w:pPr>
        <w:spacing w:line="360" w:lineRule="auto"/>
        <w:jc w:val="center"/>
        <w:rPr>
          <w:rFonts w:ascii="宋体" w:hAnsi="宋体" w:eastAsia="宋体"/>
          <w:sz w:val="24"/>
          <w:szCs w:val="24"/>
        </w:rPr>
      </w:pPr>
      <w:r>
        <w:rPr>
          <w:rFonts w:hint="eastAsia" w:ascii="宋体" w:hAnsi="宋体" w:eastAsia="宋体"/>
          <w:sz w:val="24"/>
          <w:szCs w:val="24"/>
        </w:rPr>
        <w:drawing>
          <wp:inline distT="0" distB="0" distL="0" distR="0">
            <wp:extent cx="5274310" cy="2716530"/>
            <wp:effectExtent l="19050" t="0" r="2540" b="0"/>
            <wp:docPr id="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4"/>
                    <pic:cNvPicPr>
                      <a:picLocks noChangeAspect="1" noChangeArrowheads="1"/>
                    </pic:cNvPicPr>
                  </pic:nvPicPr>
                  <pic:blipFill>
                    <a:blip r:embed="rId19"/>
                    <a:srcRect/>
                    <a:stretch>
                      <a:fillRect/>
                    </a:stretch>
                  </pic:blipFill>
                  <pic:spPr>
                    <a:xfrm>
                      <a:off x="0" y="0"/>
                      <a:ext cx="5274310" cy="2716747"/>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图5.1.1-1 交易公告</w:t>
      </w:r>
    </w:p>
    <w:p>
      <w:pPr>
        <w:pStyle w:val="28"/>
        <w:spacing w:line="360" w:lineRule="auto"/>
        <w:ind w:firstLine="480" w:firstLineChars="200"/>
      </w:pPr>
      <w:r>
        <w:rPr>
          <w:rFonts w:hint="eastAsia"/>
        </w:rPr>
        <w:t>2、在“交易公告”界面，可以进行条件筛选，也可以单击标的进行标的详情查看。如下图所示：</w:t>
      </w:r>
    </w:p>
    <w:p>
      <w:pPr>
        <w:spacing w:line="360" w:lineRule="auto"/>
        <w:jc w:val="left"/>
        <w:rPr>
          <w:sz w:val="24"/>
          <w:szCs w:val="24"/>
        </w:rPr>
      </w:pPr>
      <w:r>
        <w:rPr>
          <w:rFonts w:hint="eastAsia"/>
          <w:sz w:val="24"/>
          <w:szCs w:val="24"/>
        </w:rPr>
        <w:drawing>
          <wp:inline distT="0" distB="0" distL="0" distR="0">
            <wp:extent cx="5274310" cy="2819400"/>
            <wp:effectExtent l="19050" t="0" r="2540" b="0"/>
            <wp:docPr id="6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9"/>
                    <pic:cNvPicPr>
                      <a:picLocks noChangeAspect="1" noChangeArrowheads="1"/>
                    </pic:cNvPicPr>
                  </pic:nvPicPr>
                  <pic:blipFill>
                    <a:blip r:embed="rId30"/>
                    <a:srcRect/>
                    <a:stretch>
                      <a:fillRect/>
                    </a:stretch>
                  </pic:blipFill>
                  <pic:spPr>
                    <a:xfrm>
                      <a:off x="0" y="0"/>
                      <a:ext cx="5278260" cy="282151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图5.1.1-2 标的详情</w:t>
      </w:r>
    </w:p>
    <w:p>
      <w:pPr>
        <w:pStyle w:val="4"/>
      </w:pPr>
      <w:bookmarkStart w:id="63" w:name="_Toc30078"/>
      <w:r>
        <w:rPr>
          <w:rFonts w:hint="eastAsia"/>
        </w:rPr>
        <w:t>5.1.2　成交公示</w:t>
      </w:r>
      <w:bookmarkEnd w:id="63"/>
    </w:p>
    <w:p>
      <w:pPr>
        <w:pStyle w:val="28"/>
        <w:spacing w:line="360" w:lineRule="auto"/>
        <w:ind w:firstLine="480" w:firstLineChars="200"/>
      </w:pPr>
      <w:r>
        <w:rPr>
          <w:rFonts w:hint="eastAsia"/>
        </w:rPr>
        <w:t>1、在菜单栏选择点击“交易列表”</w:t>
      </w:r>
      <w:r>
        <w:t>-</w:t>
      </w:r>
      <w:r>
        <w:rPr>
          <w:rFonts w:hint="eastAsia"/>
        </w:rPr>
        <w:t>“成交公示”。如下图所示：</w:t>
      </w:r>
    </w:p>
    <w:p>
      <w:pPr>
        <w:spacing w:line="360" w:lineRule="auto"/>
        <w:jc w:val="left"/>
        <w:rPr>
          <w:rFonts w:ascii="宋体" w:hAnsi="宋体" w:eastAsia="宋体"/>
          <w:sz w:val="24"/>
          <w:szCs w:val="24"/>
        </w:rPr>
      </w:pPr>
      <w:r>
        <w:rPr>
          <w:rFonts w:ascii="宋体" w:hAnsi="宋体" w:eastAsia="宋体"/>
          <w:sz w:val="24"/>
          <w:szCs w:val="24"/>
        </w:rPr>
        <w:drawing>
          <wp:inline distT="0" distB="0" distL="0" distR="0">
            <wp:extent cx="5274310" cy="1398270"/>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1"/>
                    <a:srcRect/>
                    <a:stretch>
                      <a:fillRect/>
                    </a:stretch>
                  </pic:blipFill>
                  <pic:spPr>
                    <a:xfrm>
                      <a:off x="0" y="0"/>
                      <a:ext cx="5274310" cy="139833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图5.1.2-1 成交公示</w:t>
      </w:r>
    </w:p>
    <w:p>
      <w:pPr>
        <w:pStyle w:val="28"/>
        <w:spacing w:line="360" w:lineRule="auto"/>
        <w:ind w:firstLine="480" w:firstLineChars="200"/>
      </w:pPr>
      <w:r>
        <w:rPr>
          <w:rFonts w:hint="eastAsia"/>
        </w:rPr>
        <w:t>2、在上图中,可以查询所有“已成交”、“流拍”和“成交后审核”的标的物。</w:t>
      </w:r>
    </w:p>
    <w:p>
      <w:pPr>
        <w:pStyle w:val="3"/>
        <w:rPr>
          <w:szCs w:val="28"/>
        </w:rPr>
      </w:pPr>
      <w:bookmarkStart w:id="64" w:name="_Toc2378"/>
      <w:r>
        <w:rPr>
          <w:rFonts w:hint="eastAsia"/>
        </w:rPr>
        <w:t>5.2　</w:t>
      </w:r>
      <w:r>
        <w:rPr>
          <w:rFonts w:hint="eastAsia"/>
          <w:szCs w:val="28"/>
        </w:rPr>
        <w:t>我的交易</w:t>
      </w:r>
      <w:bookmarkEnd w:id="64"/>
    </w:p>
    <w:p>
      <w:pPr>
        <w:pStyle w:val="4"/>
      </w:pPr>
      <w:bookmarkStart w:id="65" w:name="_Toc24570"/>
      <w:bookmarkStart w:id="66" w:name="OLE_LINK54"/>
      <w:bookmarkStart w:id="67" w:name="OLE_LINK55"/>
      <w:r>
        <w:rPr>
          <w:rFonts w:hint="eastAsia"/>
        </w:rPr>
        <w:t>5.2.1　我的申请</w:t>
      </w:r>
      <w:bookmarkEnd w:id="65"/>
    </w:p>
    <w:p>
      <w:pPr>
        <w:pStyle w:val="28"/>
        <w:spacing w:line="360" w:lineRule="auto"/>
        <w:ind w:firstLine="480" w:firstLineChars="200"/>
      </w:pPr>
      <w:bookmarkStart w:id="68" w:name="OLE_LINK10"/>
      <w:bookmarkStart w:id="69" w:name="OLE_LINK12"/>
      <w:bookmarkStart w:id="70" w:name="OLE_LINK11"/>
      <w:bookmarkStart w:id="71" w:name="OLE_LINK53"/>
      <w:bookmarkStart w:id="72" w:name="OLE_LINK52"/>
      <w:r>
        <w:rPr>
          <w:rFonts w:hint="eastAsia"/>
        </w:rPr>
        <w:t>1、</w:t>
      </w:r>
      <w:bookmarkEnd w:id="68"/>
      <w:bookmarkEnd w:id="69"/>
      <w:bookmarkEnd w:id="70"/>
      <w:r>
        <w:rPr>
          <w:rFonts w:hint="eastAsia"/>
        </w:rPr>
        <w:t>在菜单栏选择点击“我的交易”</w:t>
      </w:r>
      <w:r>
        <w:t>-</w:t>
      </w:r>
      <w:r>
        <w:rPr>
          <w:rFonts w:hint="eastAsia"/>
        </w:rPr>
        <w:t>“我的申请”。如下图所示：</w:t>
      </w:r>
    </w:p>
    <w:bookmarkEnd w:id="66"/>
    <w:bookmarkEnd w:id="67"/>
    <w:bookmarkEnd w:id="71"/>
    <w:bookmarkEnd w:id="72"/>
    <w:p>
      <w:pPr>
        <w:pStyle w:val="28"/>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566545"/>
            <wp:effectExtent l="19050" t="0" r="254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noChangeArrowheads="1"/>
                    </pic:cNvPicPr>
                  </pic:nvPicPr>
                  <pic:blipFill>
                    <a:blip r:embed="rId32"/>
                    <a:srcRect/>
                    <a:stretch>
                      <a:fillRect/>
                    </a:stretch>
                  </pic:blipFill>
                  <pic:spPr>
                    <a:xfrm>
                      <a:off x="0" y="0"/>
                      <a:ext cx="5274310" cy="156689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图5.2.1-1 我的申请</w:t>
      </w:r>
    </w:p>
    <w:p>
      <w:pPr>
        <w:pStyle w:val="5"/>
      </w:pPr>
      <w:bookmarkStart w:id="73" w:name="_Toc10077"/>
      <w:r>
        <w:rPr>
          <w:rFonts w:hint="eastAsia"/>
        </w:rPr>
        <w:t>5.2.1.1　竞买人资料上传</w:t>
      </w:r>
      <w:bookmarkEnd w:id="73"/>
    </w:p>
    <w:p>
      <w:pPr>
        <w:pStyle w:val="39"/>
        <w:spacing w:line="360" w:lineRule="auto"/>
        <w:ind w:firstLine="480" w:firstLineChars="200"/>
      </w:pPr>
      <w:r>
        <w:rPr>
          <w:rFonts w:hint="eastAsia"/>
        </w:rPr>
        <w:t>1、在菜单栏选择点击“我的交易”</w:t>
      </w:r>
      <w:r>
        <w:t>-</w:t>
      </w:r>
      <w:r>
        <w:rPr>
          <w:rFonts w:hint="eastAsia"/>
        </w:rPr>
        <w:t>“我的申请”。如下图所示：</w:t>
      </w:r>
    </w:p>
    <w:p>
      <w:pPr>
        <w:spacing w:line="360" w:lineRule="auto"/>
        <w:jc w:val="left"/>
        <w:rPr>
          <w:sz w:val="24"/>
          <w:szCs w:val="24"/>
        </w:rPr>
      </w:pPr>
      <w:r>
        <w:drawing>
          <wp:inline distT="0" distB="0" distL="0" distR="0">
            <wp:extent cx="5274310" cy="1588135"/>
            <wp:effectExtent l="19050" t="0" r="2540" b="0"/>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noChangeArrowheads="1"/>
                    </pic:cNvPicPr>
                  </pic:nvPicPr>
                  <pic:blipFill>
                    <a:blip r:embed="rId33"/>
                    <a:srcRect/>
                    <a:stretch>
                      <a:fillRect/>
                    </a:stretch>
                  </pic:blipFill>
                  <pic:spPr>
                    <a:xfrm>
                      <a:off x="0" y="0"/>
                      <a:ext cx="5274310" cy="1588136"/>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图5.2.1.1-1 我的申请</w:t>
      </w:r>
    </w:p>
    <w:p>
      <w:pPr>
        <w:pStyle w:val="39"/>
        <w:spacing w:line="360" w:lineRule="auto"/>
        <w:ind w:firstLine="480" w:firstLineChars="200"/>
      </w:pPr>
      <w:r>
        <w:rPr>
          <w:rFonts w:hint="eastAsia"/>
        </w:rPr>
        <w:t>2、在上图中，竞买人已申请标的物竞买后，还需竞买人上传资料。选择已申请标的物，点击此标的“上传附件”按钮，进入“附件管理”界面。如下图所示：</w:t>
      </w:r>
    </w:p>
    <w:p>
      <w:pPr>
        <w:spacing w:line="360" w:lineRule="auto"/>
        <w:jc w:val="left"/>
        <w:rPr>
          <w:sz w:val="24"/>
          <w:szCs w:val="24"/>
        </w:rPr>
      </w:pPr>
      <w:r>
        <w:rPr>
          <w:rFonts w:hint="eastAsia"/>
        </w:rPr>
        <w:drawing>
          <wp:inline distT="0" distB="0" distL="0" distR="0">
            <wp:extent cx="5274310" cy="1946910"/>
            <wp:effectExtent l="19050" t="0" r="2540" b="0"/>
            <wp:docPr id="10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8"/>
                    <pic:cNvPicPr>
                      <a:picLocks noChangeAspect="1" noChangeArrowheads="1"/>
                    </pic:cNvPicPr>
                  </pic:nvPicPr>
                  <pic:blipFill>
                    <a:blip r:embed="rId34"/>
                    <a:srcRect/>
                    <a:stretch>
                      <a:fillRect/>
                    </a:stretch>
                  </pic:blipFill>
                  <pic:spPr>
                    <a:xfrm>
                      <a:off x="0" y="0"/>
                      <a:ext cx="5274310" cy="1947438"/>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图5.2.1.1-2 附件管理</w:t>
      </w:r>
    </w:p>
    <w:p>
      <w:pPr>
        <w:pStyle w:val="39"/>
        <w:spacing w:line="360" w:lineRule="auto"/>
        <w:ind w:firstLine="480" w:firstLineChars="200"/>
      </w:pPr>
      <w:r>
        <w:rPr>
          <w:rFonts w:hint="eastAsia"/>
        </w:rPr>
        <w:t>3、在上图中，在左侧树形结构中选择要上传的资料，再点击“上传”按钮，弹出“新增附件”对话框，点击“浏览”按钮，选择要上传的附件，然后点击“上传”按钮即可上传。</w:t>
      </w:r>
    </w:p>
    <w:p>
      <w:pPr>
        <w:pStyle w:val="5"/>
      </w:pPr>
      <w:bookmarkStart w:id="74" w:name="_Toc10703"/>
      <w:r>
        <w:rPr>
          <w:rFonts w:hint="eastAsia"/>
        </w:rPr>
        <w:t>5.2.1.2　资格确认书</w:t>
      </w:r>
      <w:bookmarkEnd w:id="74"/>
    </w:p>
    <w:p>
      <w:pPr>
        <w:pStyle w:val="39"/>
        <w:numPr>
          <w:ilvl w:val="0"/>
          <w:numId w:val="0"/>
        </w:numPr>
        <w:spacing w:line="360" w:lineRule="auto"/>
        <w:ind w:firstLine="480" w:firstLineChars="200"/>
      </w:pPr>
      <w:bookmarkStart w:id="75" w:name="OLE_LINK58"/>
      <w:bookmarkStart w:id="76" w:name="OLE_LINK57"/>
      <w:bookmarkStart w:id="77" w:name="OLE_LINK56"/>
      <w:bookmarkStart w:id="78" w:name="OLE_LINK14"/>
      <w:bookmarkStart w:id="79" w:name="OLE_LINK13"/>
      <w:bookmarkStart w:id="80" w:name="OLE_LINK15"/>
      <w:r>
        <w:rPr>
          <w:rFonts w:hint="eastAsia"/>
        </w:rPr>
        <w:t>1、在</w:t>
      </w:r>
      <w:bookmarkEnd w:id="75"/>
      <w:bookmarkEnd w:id="76"/>
      <w:bookmarkEnd w:id="77"/>
      <w:r>
        <w:rPr>
          <w:rFonts w:hint="eastAsia"/>
        </w:rPr>
        <w:t>下图中，竞买人如交纳足额保证金后，需打印“资格确认书”，可以用“状态”、“标的”“交易类型”等条件进行筛选，再选择已交纳保证金的标的，点击此标的的“资格确认书”，弹出“查看资格确认书”界面。如下图所示：</w:t>
      </w:r>
    </w:p>
    <w:p>
      <w:pPr>
        <w:pStyle w:val="39"/>
        <w:spacing w:line="360" w:lineRule="auto"/>
      </w:pPr>
      <w:r>
        <w:drawing>
          <wp:inline distT="0" distB="0" distL="114300" distR="114300">
            <wp:extent cx="5267325" cy="2551430"/>
            <wp:effectExtent l="0" t="0" r="9525" b="12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5"/>
                    <a:stretch>
                      <a:fillRect/>
                    </a:stretch>
                  </pic:blipFill>
                  <pic:spPr>
                    <a:xfrm>
                      <a:off x="0" y="0"/>
                      <a:ext cx="5267325" cy="2551430"/>
                    </a:xfrm>
                    <a:prstGeom prst="rect">
                      <a:avLst/>
                    </a:prstGeom>
                    <a:noFill/>
                    <a:ln w="9525">
                      <a:noFill/>
                    </a:ln>
                  </pic:spPr>
                </pic:pic>
              </a:graphicData>
            </a:graphic>
          </wp:inline>
        </w:drawing>
      </w:r>
    </w:p>
    <w:p>
      <w:pPr>
        <w:pStyle w:val="39"/>
        <w:spacing w:line="360" w:lineRule="auto"/>
      </w:pPr>
      <w:r>
        <w:rPr>
          <w:rFonts w:hint="eastAsia"/>
        </w:rPr>
        <w:drawing>
          <wp:inline distT="0" distB="0" distL="0" distR="0">
            <wp:extent cx="5274310" cy="3038475"/>
            <wp:effectExtent l="19050" t="0" r="2540" b="0"/>
            <wp:docPr id="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
                    <pic:cNvPicPr>
                      <a:picLocks noChangeAspect="1" noChangeArrowheads="1"/>
                    </pic:cNvPicPr>
                  </pic:nvPicPr>
                  <pic:blipFill>
                    <a:blip r:embed="rId36"/>
                    <a:srcRect/>
                    <a:stretch>
                      <a:fillRect/>
                    </a:stretch>
                  </pic:blipFill>
                  <pic:spPr>
                    <a:xfrm>
                      <a:off x="0" y="0"/>
                      <a:ext cx="5274310" cy="303847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图5.2.1.2-1 资格确认书</w:t>
      </w:r>
    </w:p>
    <w:p>
      <w:pPr>
        <w:pStyle w:val="39"/>
        <w:spacing w:line="360" w:lineRule="auto"/>
        <w:ind w:firstLine="480" w:firstLineChars="200"/>
      </w:pPr>
      <w:r>
        <w:rPr>
          <w:rFonts w:hint="eastAsia"/>
        </w:rPr>
        <w:t>2、在上图中，打印和下载“资格确认书”，点击“打印”和“下载”按钮即可。</w:t>
      </w:r>
    </w:p>
    <w:p>
      <w:pPr>
        <w:pStyle w:val="5"/>
      </w:pPr>
      <w:bookmarkStart w:id="81" w:name="_Toc10201"/>
      <w:r>
        <w:rPr>
          <w:rFonts w:hint="eastAsia"/>
        </w:rPr>
        <w:t>5.2.1.3　成交通知书</w:t>
      </w:r>
      <w:bookmarkEnd w:id="81"/>
    </w:p>
    <w:p>
      <w:pPr>
        <w:pStyle w:val="39"/>
        <w:spacing w:line="360" w:lineRule="auto"/>
        <w:ind w:firstLine="480" w:firstLineChars="200"/>
      </w:pPr>
      <w:r>
        <w:rPr>
          <w:rFonts w:hint="eastAsia"/>
        </w:rPr>
        <w:t>1、在菜单栏选择点击“我的交易”</w:t>
      </w:r>
      <w:r>
        <w:t>-</w:t>
      </w:r>
      <w:r>
        <w:rPr>
          <w:rFonts w:hint="eastAsia"/>
        </w:rPr>
        <w:t>“我的申请”。如下图所示：</w:t>
      </w:r>
    </w:p>
    <w:p>
      <w:pPr>
        <w:spacing w:line="360" w:lineRule="auto"/>
        <w:jc w:val="left"/>
        <w:rPr>
          <w:sz w:val="24"/>
          <w:szCs w:val="24"/>
        </w:rPr>
      </w:pPr>
      <w:r>
        <w:drawing>
          <wp:inline distT="0" distB="0" distL="0" distR="0">
            <wp:extent cx="5274310" cy="1588135"/>
            <wp:effectExtent l="19050" t="0" r="2540" b="0"/>
            <wp:docPr id="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pic:cNvPicPr>
                      <a:picLocks noChangeAspect="1" noChangeArrowheads="1"/>
                    </pic:cNvPicPr>
                  </pic:nvPicPr>
                  <pic:blipFill>
                    <a:blip r:embed="rId33"/>
                    <a:srcRect/>
                    <a:stretch>
                      <a:fillRect/>
                    </a:stretch>
                  </pic:blipFill>
                  <pic:spPr>
                    <a:xfrm>
                      <a:off x="0" y="0"/>
                      <a:ext cx="5274310" cy="1588136"/>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图5.2.1.3-1 我的申请</w:t>
      </w:r>
    </w:p>
    <w:p>
      <w:pPr>
        <w:pStyle w:val="39"/>
        <w:numPr>
          <w:ilvl w:val="0"/>
          <w:numId w:val="0"/>
        </w:numPr>
        <w:spacing w:line="360" w:lineRule="auto"/>
        <w:ind w:firstLine="480" w:firstLineChars="200"/>
      </w:pPr>
      <w:r>
        <w:rPr>
          <w:rFonts w:hint="eastAsia"/>
        </w:rPr>
        <w:t>2、在上图中，竞买人如竞得标的物后，需打印“成交通知书”，可以用“状态”、“标的”“交易类型”等条件进行筛选，再选择竞得标的物，点击此标的的“成交通知书”，弹出“成交通知书”对话框。如下图所示：</w:t>
      </w:r>
    </w:p>
    <w:p>
      <w:pPr>
        <w:spacing w:line="360" w:lineRule="auto"/>
        <w:jc w:val="left"/>
        <w:rPr>
          <w:rFonts w:ascii="宋体" w:hAnsi="宋体" w:eastAsia="宋体"/>
          <w:sz w:val="24"/>
          <w:szCs w:val="24"/>
        </w:rPr>
      </w:pPr>
      <w:r>
        <w:rPr>
          <w:rFonts w:ascii="宋体" w:hAnsi="宋体" w:eastAsia="宋体"/>
          <w:sz w:val="24"/>
          <w:szCs w:val="24"/>
        </w:rPr>
        <w:drawing>
          <wp:inline distT="0" distB="0" distL="0" distR="0">
            <wp:extent cx="5448300" cy="3105150"/>
            <wp:effectExtent l="19050" t="0" r="0" b="0"/>
            <wp:docPr id="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
                    <pic:cNvPicPr>
                      <a:picLocks noChangeAspect="1" noChangeArrowheads="1"/>
                    </pic:cNvPicPr>
                  </pic:nvPicPr>
                  <pic:blipFill>
                    <a:blip r:embed="rId37"/>
                    <a:srcRect/>
                    <a:stretch>
                      <a:fillRect/>
                    </a:stretch>
                  </pic:blipFill>
                  <pic:spPr>
                    <a:xfrm>
                      <a:off x="0" y="0"/>
                      <a:ext cx="5451323" cy="3106873"/>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图5.2.1.3-2 成交通知书</w:t>
      </w:r>
    </w:p>
    <w:p>
      <w:pPr>
        <w:spacing w:line="360" w:lineRule="auto"/>
        <w:jc w:val="left"/>
        <w:rPr>
          <w:sz w:val="24"/>
          <w:szCs w:val="24"/>
        </w:rPr>
      </w:pPr>
      <w:r>
        <w:rPr>
          <w:rFonts w:hint="eastAsia" w:ascii="宋体" w:hAnsi="宋体" w:eastAsia="宋体" w:cs="宋体"/>
          <w:kern w:val="0"/>
          <w:sz w:val="24"/>
          <w:szCs w:val="24"/>
        </w:rPr>
        <w:t>3、在上图中，打印和下载“成交通知书”，点击“打印”和“下载”按钮即可。</w:t>
      </w:r>
    </w:p>
    <w:p>
      <w:pPr>
        <w:pStyle w:val="4"/>
      </w:pPr>
      <w:bookmarkStart w:id="82" w:name="_Toc12295"/>
      <w:r>
        <w:rPr>
          <w:rFonts w:hint="eastAsia"/>
        </w:rPr>
        <w:t>5.2.2　竞价记录</w:t>
      </w:r>
      <w:bookmarkEnd w:id="82"/>
    </w:p>
    <w:p>
      <w:pPr>
        <w:pStyle w:val="39"/>
        <w:spacing w:line="360" w:lineRule="auto"/>
        <w:ind w:firstLine="480" w:firstLineChars="200"/>
      </w:pPr>
      <w:r>
        <w:rPr>
          <w:rFonts w:hint="eastAsia"/>
        </w:rPr>
        <w:t>1、在菜单栏选择点击“我的交易”</w:t>
      </w:r>
      <w:r>
        <w:t>—</w:t>
      </w:r>
      <w:r>
        <w:rPr>
          <w:rFonts w:hint="eastAsia"/>
        </w:rPr>
        <w:t>“竞价记录”。如下图所示：</w:t>
      </w:r>
    </w:p>
    <w:p>
      <w:pPr>
        <w:spacing w:line="360" w:lineRule="auto"/>
        <w:jc w:val="left"/>
        <w:rPr>
          <w:rFonts w:ascii="宋体" w:hAnsi="宋体" w:eastAsia="宋体"/>
          <w:sz w:val="24"/>
          <w:szCs w:val="24"/>
        </w:rPr>
      </w:pPr>
      <w:r>
        <w:rPr>
          <w:rFonts w:ascii="宋体" w:hAnsi="宋体" w:eastAsia="宋体"/>
          <w:sz w:val="24"/>
          <w:szCs w:val="24"/>
        </w:rPr>
        <w:drawing>
          <wp:inline distT="0" distB="0" distL="0" distR="0">
            <wp:extent cx="5274310" cy="2244725"/>
            <wp:effectExtent l="19050" t="0" r="2540" b="0"/>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noChangeArrowheads="1"/>
                    </pic:cNvPicPr>
                  </pic:nvPicPr>
                  <pic:blipFill>
                    <a:blip r:embed="rId38"/>
                    <a:srcRect/>
                    <a:stretch>
                      <a:fillRect/>
                    </a:stretch>
                  </pic:blipFill>
                  <pic:spPr>
                    <a:xfrm>
                      <a:off x="0" y="0"/>
                      <a:ext cx="5274310" cy="2245289"/>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图5.2.2-1 竞价记录</w:t>
      </w:r>
    </w:p>
    <w:p>
      <w:pPr>
        <w:spacing w:line="360" w:lineRule="auto"/>
        <w:jc w:val="left"/>
        <w:rPr>
          <w:sz w:val="24"/>
          <w:szCs w:val="24"/>
        </w:rPr>
      </w:pPr>
      <w:r>
        <w:rPr>
          <w:rFonts w:hint="eastAsia"/>
          <w:sz w:val="24"/>
          <w:szCs w:val="24"/>
        </w:rPr>
        <w:t>2、在上图中，竞买人可以查看自己对每一个标的物每一次竞价记录。</w:t>
      </w:r>
    </w:p>
    <w:p>
      <w:pPr>
        <w:pStyle w:val="2"/>
        <w:rPr>
          <w:szCs w:val="32"/>
        </w:rPr>
      </w:pPr>
      <w:bookmarkStart w:id="83" w:name="_Toc6477"/>
      <w:r>
        <w:rPr>
          <w:rFonts w:hint="eastAsia"/>
        </w:rPr>
        <w:t>6、</w:t>
      </w:r>
      <w:r>
        <w:rPr>
          <w:rFonts w:hint="eastAsia"/>
          <w:szCs w:val="32"/>
        </w:rPr>
        <w:t>矿业交易</w:t>
      </w:r>
      <w:bookmarkEnd w:id="83"/>
    </w:p>
    <w:p>
      <w:pPr>
        <w:pStyle w:val="3"/>
        <w:rPr>
          <w:szCs w:val="28"/>
        </w:rPr>
      </w:pPr>
      <w:bookmarkStart w:id="84" w:name="_Toc32250"/>
      <w:r>
        <w:rPr>
          <w:rFonts w:hint="eastAsia"/>
        </w:rPr>
        <w:t>6.1　</w:t>
      </w:r>
      <w:r>
        <w:rPr>
          <w:rFonts w:hint="eastAsia"/>
          <w:szCs w:val="28"/>
        </w:rPr>
        <w:t>交易列表</w:t>
      </w:r>
      <w:bookmarkEnd w:id="84"/>
    </w:p>
    <w:p>
      <w:pPr>
        <w:pStyle w:val="4"/>
      </w:pPr>
      <w:bookmarkStart w:id="85" w:name="_Toc15529"/>
      <w:r>
        <w:rPr>
          <w:rFonts w:hint="eastAsia"/>
        </w:rPr>
        <w:t>6.1.1　交易公告</w:t>
      </w:r>
      <w:bookmarkEnd w:id="85"/>
    </w:p>
    <w:p>
      <w:pPr>
        <w:pStyle w:val="39"/>
        <w:spacing w:line="360" w:lineRule="auto"/>
        <w:ind w:firstLine="480" w:firstLineChars="200"/>
      </w:pPr>
      <w:r>
        <w:rPr>
          <w:rFonts w:hint="eastAsia"/>
        </w:rPr>
        <w:t>1、在菜单栏选择点击“交易列表”</w:t>
      </w:r>
      <w:r>
        <w:t>-</w:t>
      </w:r>
      <w:r>
        <w:rPr>
          <w:rFonts w:hint="eastAsia"/>
        </w:rPr>
        <w:t>“交易公告”。如下图所示：</w:t>
      </w:r>
    </w:p>
    <w:p>
      <w:pPr>
        <w:spacing w:line="360" w:lineRule="auto"/>
        <w:jc w:val="center"/>
        <w:rPr>
          <w:rFonts w:ascii="宋体" w:hAnsi="宋体" w:eastAsia="宋体"/>
          <w:sz w:val="24"/>
          <w:szCs w:val="24"/>
        </w:rPr>
      </w:pPr>
      <w:r>
        <w:rPr>
          <w:rFonts w:ascii="宋体" w:hAnsi="宋体" w:eastAsia="宋体"/>
          <w:sz w:val="24"/>
          <w:szCs w:val="24"/>
        </w:rPr>
        <w:drawing>
          <wp:inline distT="0" distB="0" distL="0" distR="0">
            <wp:extent cx="5269865" cy="2247900"/>
            <wp:effectExtent l="19050" t="0" r="6838" b="0"/>
            <wp:docPr id="9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4"/>
                    <pic:cNvPicPr>
                      <a:picLocks noChangeAspect="1" noChangeArrowheads="1"/>
                    </pic:cNvPicPr>
                  </pic:nvPicPr>
                  <pic:blipFill>
                    <a:blip r:embed="rId24"/>
                    <a:srcRect/>
                    <a:stretch>
                      <a:fillRect/>
                    </a:stretch>
                  </pic:blipFill>
                  <pic:spPr>
                    <a:xfrm>
                      <a:off x="0" y="0"/>
                      <a:ext cx="5274310" cy="2249733"/>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图6.1.1-1 交易公告</w:t>
      </w:r>
    </w:p>
    <w:p>
      <w:pPr>
        <w:pStyle w:val="39"/>
        <w:spacing w:line="360" w:lineRule="auto"/>
        <w:ind w:firstLine="480" w:firstLineChars="200"/>
      </w:pPr>
      <w:r>
        <w:rPr>
          <w:rFonts w:hint="eastAsia"/>
        </w:rPr>
        <w:t>2、在“交易公告”界面，可以进行条件筛选，也可以单击标的进行标的详情查看。如下图所示：</w:t>
      </w:r>
    </w:p>
    <w:p>
      <w:pPr>
        <w:spacing w:line="360" w:lineRule="auto"/>
        <w:jc w:val="left"/>
        <w:rPr>
          <w:sz w:val="24"/>
          <w:szCs w:val="24"/>
        </w:rPr>
      </w:pPr>
      <w:r>
        <w:rPr>
          <w:sz w:val="24"/>
          <w:szCs w:val="24"/>
        </w:rPr>
        <w:drawing>
          <wp:inline distT="0" distB="0" distL="0" distR="0">
            <wp:extent cx="5274310" cy="3208020"/>
            <wp:effectExtent l="19050" t="0" r="2540" b="0"/>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noChangeArrowheads="1"/>
                    </pic:cNvPicPr>
                  </pic:nvPicPr>
                  <pic:blipFill>
                    <a:blip r:embed="rId39"/>
                    <a:srcRect/>
                    <a:stretch>
                      <a:fillRect/>
                    </a:stretch>
                  </pic:blipFill>
                  <pic:spPr>
                    <a:xfrm>
                      <a:off x="0" y="0"/>
                      <a:ext cx="5274310" cy="320829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图6.1.1-1 标的详情</w:t>
      </w:r>
    </w:p>
    <w:p>
      <w:pPr>
        <w:pStyle w:val="4"/>
      </w:pPr>
      <w:bookmarkStart w:id="86" w:name="_Toc4072"/>
      <w:r>
        <w:rPr>
          <w:rFonts w:hint="eastAsia"/>
        </w:rPr>
        <w:t>6.1.2　成交公示</w:t>
      </w:r>
      <w:bookmarkEnd w:id="86"/>
    </w:p>
    <w:p>
      <w:pPr>
        <w:pStyle w:val="39"/>
        <w:spacing w:line="360" w:lineRule="auto"/>
        <w:ind w:firstLine="480" w:firstLineChars="200"/>
      </w:pPr>
      <w:r>
        <w:rPr>
          <w:rFonts w:hint="eastAsia"/>
        </w:rPr>
        <w:t>1、在菜单栏选择点击“交易列表”</w:t>
      </w:r>
      <w:r>
        <w:t>-</w:t>
      </w:r>
      <w:r>
        <w:rPr>
          <w:rFonts w:hint="eastAsia"/>
        </w:rPr>
        <w:t>“成交公示”。如下图所示：</w:t>
      </w:r>
    </w:p>
    <w:p>
      <w:pPr>
        <w:spacing w:line="360" w:lineRule="auto"/>
        <w:jc w:val="left"/>
        <w:rPr>
          <w:rFonts w:ascii="宋体" w:hAnsi="宋体" w:eastAsia="宋体"/>
          <w:sz w:val="24"/>
          <w:szCs w:val="24"/>
        </w:rPr>
      </w:pPr>
      <w:r>
        <w:rPr>
          <w:rFonts w:hint="eastAsia" w:ascii="宋体" w:hAnsi="宋体" w:eastAsia="宋体"/>
          <w:sz w:val="24"/>
          <w:szCs w:val="24"/>
        </w:rPr>
        <w:drawing>
          <wp:inline distT="0" distB="0" distL="0" distR="0">
            <wp:extent cx="5274310" cy="1528445"/>
            <wp:effectExtent l="19050" t="0" r="2540" b="0"/>
            <wp:docPr id="10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2"/>
                    <pic:cNvPicPr>
                      <a:picLocks noChangeAspect="1" noChangeArrowheads="1"/>
                    </pic:cNvPicPr>
                  </pic:nvPicPr>
                  <pic:blipFill>
                    <a:blip r:embed="rId40"/>
                    <a:srcRect/>
                    <a:stretch>
                      <a:fillRect/>
                    </a:stretch>
                  </pic:blipFill>
                  <pic:spPr>
                    <a:xfrm>
                      <a:off x="0" y="0"/>
                      <a:ext cx="5274310" cy="1529017"/>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图6.1.2-1 成交公示</w:t>
      </w:r>
    </w:p>
    <w:p>
      <w:pPr>
        <w:pStyle w:val="39"/>
        <w:spacing w:line="360" w:lineRule="auto"/>
        <w:ind w:firstLine="480" w:firstLineChars="200"/>
      </w:pPr>
      <w:r>
        <w:rPr>
          <w:rFonts w:hint="eastAsia"/>
        </w:rPr>
        <w:t>2、在上图中,可以查询所有“已成交”、“流拍”和“成交后审核”的标的物。</w:t>
      </w:r>
    </w:p>
    <w:p>
      <w:pPr>
        <w:pStyle w:val="3"/>
        <w:rPr>
          <w:szCs w:val="28"/>
        </w:rPr>
      </w:pPr>
      <w:bookmarkStart w:id="87" w:name="_Toc10231"/>
      <w:r>
        <w:rPr>
          <w:rFonts w:hint="eastAsia"/>
        </w:rPr>
        <w:t>6.2　</w:t>
      </w:r>
      <w:r>
        <w:rPr>
          <w:rFonts w:hint="eastAsia"/>
          <w:szCs w:val="28"/>
        </w:rPr>
        <w:t>我的交易</w:t>
      </w:r>
      <w:bookmarkEnd w:id="87"/>
    </w:p>
    <w:p>
      <w:pPr>
        <w:pStyle w:val="4"/>
      </w:pPr>
      <w:bookmarkStart w:id="88" w:name="_Toc11094"/>
      <w:r>
        <w:rPr>
          <w:rFonts w:hint="eastAsia"/>
        </w:rPr>
        <w:t>6.2.1　我的申请</w:t>
      </w:r>
      <w:bookmarkEnd w:id="88"/>
    </w:p>
    <w:p>
      <w:pPr>
        <w:pStyle w:val="39"/>
        <w:spacing w:line="360" w:lineRule="auto"/>
        <w:ind w:firstLine="480" w:firstLineChars="200"/>
      </w:pPr>
      <w:r>
        <w:rPr>
          <w:rFonts w:hint="eastAsia"/>
        </w:rPr>
        <w:t>1、在菜单栏选择点击“我的交易”</w:t>
      </w:r>
      <w:r>
        <w:t>-</w:t>
      </w:r>
      <w:r>
        <w:rPr>
          <w:rFonts w:hint="eastAsia"/>
        </w:rPr>
        <w:t>“我的申请”。如下图所示：</w:t>
      </w:r>
    </w:p>
    <w:p>
      <w:pPr>
        <w:pStyle w:val="28"/>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711325"/>
            <wp:effectExtent l="19050" t="0" r="2540" b="0"/>
            <wp:docPr id="10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5"/>
                    <pic:cNvPicPr>
                      <a:picLocks noChangeAspect="1" noChangeArrowheads="1"/>
                    </pic:cNvPicPr>
                  </pic:nvPicPr>
                  <pic:blipFill>
                    <a:blip r:embed="rId41"/>
                    <a:srcRect/>
                    <a:stretch>
                      <a:fillRect/>
                    </a:stretch>
                  </pic:blipFill>
                  <pic:spPr>
                    <a:xfrm>
                      <a:off x="0" y="0"/>
                      <a:ext cx="5274310" cy="171160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图6.2.1-1 我的申请</w:t>
      </w:r>
    </w:p>
    <w:p>
      <w:pPr>
        <w:pStyle w:val="5"/>
      </w:pPr>
      <w:bookmarkStart w:id="89" w:name="_Toc31681"/>
      <w:r>
        <w:rPr>
          <w:rFonts w:hint="eastAsia"/>
        </w:rPr>
        <w:t>6.2.1.1　竞买人资料上传</w:t>
      </w:r>
      <w:bookmarkEnd w:id="89"/>
    </w:p>
    <w:p>
      <w:pPr>
        <w:pStyle w:val="39"/>
        <w:spacing w:line="360" w:lineRule="auto"/>
        <w:ind w:firstLine="480" w:firstLineChars="200"/>
      </w:pPr>
      <w:r>
        <w:rPr>
          <w:rFonts w:hint="eastAsia"/>
        </w:rPr>
        <w:t>1、在菜单栏选择点击“我的交易”</w:t>
      </w:r>
      <w:r>
        <w:t>-</w:t>
      </w:r>
      <w:r>
        <w:rPr>
          <w:rFonts w:hint="eastAsia"/>
        </w:rPr>
        <w:t>“我的申请”。如下图所示：</w:t>
      </w:r>
    </w:p>
    <w:p>
      <w:pPr>
        <w:spacing w:line="360" w:lineRule="auto"/>
        <w:jc w:val="left"/>
        <w:rPr>
          <w:sz w:val="24"/>
          <w:szCs w:val="24"/>
        </w:rPr>
      </w:pPr>
      <w:r>
        <w:drawing>
          <wp:inline distT="0" distB="0" distL="0" distR="0">
            <wp:extent cx="5274310" cy="1711325"/>
            <wp:effectExtent l="19050" t="0" r="2540" b="0"/>
            <wp:docPr id="10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5"/>
                    <pic:cNvPicPr>
                      <a:picLocks noChangeAspect="1" noChangeArrowheads="1"/>
                    </pic:cNvPicPr>
                  </pic:nvPicPr>
                  <pic:blipFill>
                    <a:blip r:embed="rId41"/>
                    <a:srcRect/>
                    <a:stretch>
                      <a:fillRect/>
                    </a:stretch>
                  </pic:blipFill>
                  <pic:spPr>
                    <a:xfrm>
                      <a:off x="0" y="0"/>
                      <a:ext cx="5274310" cy="171160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图6.2.1.1-1 我的申请</w:t>
      </w:r>
    </w:p>
    <w:p>
      <w:pPr>
        <w:pStyle w:val="39"/>
        <w:spacing w:line="360" w:lineRule="auto"/>
        <w:ind w:firstLine="480" w:firstLineChars="200"/>
      </w:pPr>
      <w:r>
        <w:rPr>
          <w:rFonts w:hint="eastAsia"/>
        </w:rPr>
        <w:t>2、在上图中，竞买人已申请标的物竞买后，还需竞买人上传资料。选择已申请标的物，点击此标的“上传附件”按钮，进入“附件管理”界面。如下图所示：</w:t>
      </w:r>
    </w:p>
    <w:p>
      <w:pPr>
        <w:spacing w:line="360" w:lineRule="auto"/>
        <w:jc w:val="left"/>
        <w:rPr>
          <w:sz w:val="24"/>
          <w:szCs w:val="24"/>
        </w:rPr>
      </w:pPr>
      <w:r>
        <w:rPr>
          <w:rFonts w:hint="eastAsia"/>
        </w:rPr>
        <w:drawing>
          <wp:inline distT="0" distB="0" distL="0" distR="0">
            <wp:extent cx="5274310" cy="1946910"/>
            <wp:effectExtent l="19050" t="0" r="2540" b="0"/>
            <wp:docPr id="10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8"/>
                    <pic:cNvPicPr>
                      <a:picLocks noChangeAspect="1" noChangeArrowheads="1"/>
                    </pic:cNvPicPr>
                  </pic:nvPicPr>
                  <pic:blipFill>
                    <a:blip r:embed="rId34"/>
                    <a:srcRect/>
                    <a:stretch>
                      <a:fillRect/>
                    </a:stretch>
                  </pic:blipFill>
                  <pic:spPr>
                    <a:xfrm>
                      <a:off x="0" y="0"/>
                      <a:ext cx="5274310" cy="1947438"/>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图6.2.1.1-2 附件管理</w:t>
      </w:r>
    </w:p>
    <w:p>
      <w:pPr>
        <w:pStyle w:val="39"/>
        <w:spacing w:line="360" w:lineRule="auto"/>
        <w:ind w:firstLine="480" w:firstLineChars="200"/>
      </w:pPr>
      <w:r>
        <w:rPr>
          <w:rFonts w:hint="eastAsia"/>
        </w:rPr>
        <w:t>3、在上图中，在左侧树形结构中选择要上传的资料，再点击“上传”按钮，弹出“新增附件”对话框，点击“浏览”按钮，选择要上传的附件，然后点击“上传”按钮即可上传。</w:t>
      </w:r>
    </w:p>
    <w:p>
      <w:pPr>
        <w:pStyle w:val="5"/>
      </w:pPr>
      <w:bookmarkStart w:id="90" w:name="_Toc859"/>
      <w:r>
        <w:rPr>
          <w:rFonts w:hint="eastAsia"/>
        </w:rPr>
        <w:t>6.2.1.2　资格确认书</w:t>
      </w:r>
      <w:bookmarkEnd w:id="90"/>
    </w:p>
    <w:p>
      <w:pPr>
        <w:pStyle w:val="39"/>
        <w:spacing w:line="360" w:lineRule="auto"/>
        <w:ind w:firstLine="480" w:firstLineChars="200"/>
      </w:pPr>
      <w:r>
        <w:rPr>
          <w:rFonts w:hint="eastAsia"/>
        </w:rPr>
        <w:t>1、在菜单栏选择点击“我的交易”</w:t>
      </w:r>
      <w:r>
        <w:t>-</w:t>
      </w:r>
      <w:r>
        <w:rPr>
          <w:rFonts w:hint="eastAsia"/>
        </w:rPr>
        <w:t>“我的申请”。如下图所示：</w:t>
      </w:r>
    </w:p>
    <w:p>
      <w:pPr>
        <w:pStyle w:val="28"/>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711325"/>
            <wp:effectExtent l="19050" t="0" r="2540" b="0"/>
            <wp:docPr id="11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5"/>
                    <pic:cNvPicPr>
                      <a:picLocks noChangeAspect="1" noChangeArrowheads="1"/>
                    </pic:cNvPicPr>
                  </pic:nvPicPr>
                  <pic:blipFill>
                    <a:blip r:embed="rId41"/>
                    <a:srcRect/>
                    <a:stretch>
                      <a:fillRect/>
                    </a:stretch>
                  </pic:blipFill>
                  <pic:spPr>
                    <a:xfrm>
                      <a:off x="0" y="0"/>
                      <a:ext cx="5274310" cy="171160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图6.2.1.2-1 我的申请</w:t>
      </w:r>
    </w:p>
    <w:p>
      <w:pPr>
        <w:pStyle w:val="39"/>
        <w:numPr>
          <w:ilvl w:val="0"/>
          <w:numId w:val="0"/>
        </w:numPr>
        <w:spacing w:line="360" w:lineRule="auto"/>
        <w:ind w:firstLine="480" w:firstLineChars="200"/>
      </w:pPr>
      <w:r>
        <w:rPr>
          <w:rFonts w:hint="eastAsia"/>
        </w:rPr>
        <w:t>2、在上图中，竞买人如交纳足额保证金后，需打印“资格确认书”，可以用“状态”、“标的”“交易类型”等条件进行筛选，再选择已交纳保证金的标的，点击此标的的“资格确认书”，弹出“查看资格确认书”界面。如下图所示：</w:t>
      </w:r>
    </w:p>
    <w:p>
      <w:pPr>
        <w:pStyle w:val="39"/>
        <w:spacing w:line="360" w:lineRule="auto"/>
      </w:pPr>
      <w:r>
        <w:rPr>
          <w:rFonts w:hint="eastAsia"/>
        </w:rPr>
        <w:drawing>
          <wp:inline distT="0" distB="0" distL="0" distR="0">
            <wp:extent cx="5274310" cy="3038475"/>
            <wp:effectExtent l="19050" t="0" r="2540" b="0"/>
            <wp:docPr id="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
                    <pic:cNvPicPr>
                      <a:picLocks noChangeAspect="1" noChangeArrowheads="1"/>
                    </pic:cNvPicPr>
                  </pic:nvPicPr>
                  <pic:blipFill>
                    <a:blip r:embed="rId36"/>
                    <a:srcRect/>
                    <a:stretch>
                      <a:fillRect/>
                    </a:stretch>
                  </pic:blipFill>
                  <pic:spPr>
                    <a:xfrm>
                      <a:off x="0" y="0"/>
                      <a:ext cx="5274310" cy="303847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图6.2.1.2-2 资格确认书</w:t>
      </w:r>
    </w:p>
    <w:p>
      <w:pPr>
        <w:pStyle w:val="39"/>
        <w:spacing w:line="360" w:lineRule="auto"/>
        <w:ind w:firstLine="480" w:firstLineChars="200"/>
      </w:pPr>
      <w:r>
        <w:rPr>
          <w:rFonts w:hint="eastAsia"/>
        </w:rPr>
        <w:t>3、在上图中，打印和下载“资格确认书”，点击“打印”和“下载”按钮即可。</w:t>
      </w:r>
    </w:p>
    <w:p>
      <w:pPr>
        <w:pStyle w:val="5"/>
      </w:pPr>
      <w:bookmarkStart w:id="91" w:name="_Toc10416"/>
      <w:r>
        <w:rPr>
          <w:rFonts w:hint="eastAsia"/>
        </w:rPr>
        <w:t>6.2.1.3　成交通知书</w:t>
      </w:r>
      <w:bookmarkEnd w:id="91"/>
    </w:p>
    <w:p>
      <w:pPr>
        <w:pStyle w:val="39"/>
        <w:spacing w:line="360" w:lineRule="auto"/>
        <w:ind w:firstLine="480" w:firstLineChars="200"/>
      </w:pPr>
      <w:r>
        <w:rPr>
          <w:rFonts w:hint="eastAsia"/>
        </w:rPr>
        <w:t>1、在菜单栏选择点击“我的交易”</w:t>
      </w:r>
      <w:r>
        <w:t>-</w:t>
      </w:r>
      <w:r>
        <w:rPr>
          <w:rFonts w:hint="eastAsia"/>
        </w:rPr>
        <w:t>“我的申请”。如下图所示：</w:t>
      </w:r>
    </w:p>
    <w:p>
      <w:pPr>
        <w:spacing w:line="360" w:lineRule="auto"/>
        <w:jc w:val="left"/>
        <w:rPr>
          <w:sz w:val="24"/>
          <w:szCs w:val="24"/>
        </w:rPr>
      </w:pPr>
      <w:r>
        <w:drawing>
          <wp:inline distT="0" distB="0" distL="0" distR="0">
            <wp:extent cx="5274310" cy="1711325"/>
            <wp:effectExtent l="19050" t="0" r="2540" b="0"/>
            <wp:docPr id="11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5"/>
                    <pic:cNvPicPr>
                      <a:picLocks noChangeAspect="1" noChangeArrowheads="1"/>
                    </pic:cNvPicPr>
                  </pic:nvPicPr>
                  <pic:blipFill>
                    <a:blip r:embed="rId41"/>
                    <a:srcRect/>
                    <a:stretch>
                      <a:fillRect/>
                    </a:stretch>
                  </pic:blipFill>
                  <pic:spPr>
                    <a:xfrm>
                      <a:off x="0" y="0"/>
                      <a:ext cx="5274310" cy="1711602"/>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图6.2.1.3-1 我的申请</w:t>
      </w:r>
    </w:p>
    <w:p>
      <w:pPr>
        <w:pStyle w:val="39"/>
        <w:spacing w:line="360" w:lineRule="auto"/>
        <w:ind w:firstLine="480" w:firstLineChars="200"/>
      </w:pPr>
      <w:r>
        <w:rPr>
          <w:rFonts w:hint="eastAsia"/>
        </w:rPr>
        <w:t>2、在上图中，竞买人如竞得标的物后，需打印“成交通知书”，可以用“状态”、“标的”“交易类型”等条件进行筛选，再选择竞得标的物，点击此标的的“成交通知书”，弹出“查看成交通知书”。如下图所示：</w:t>
      </w:r>
    </w:p>
    <w:p>
      <w:pPr>
        <w:spacing w:line="360" w:lineRule="auto"/>
        <w:jc w:val="left"/>
        <w:rPr>
          <w:rFonts w:ascii="宋体" w:hAnsi="宋体" w:eastAsia="宋体"/>
          <w:sz w:val="24"/>
          <w:szCs w:val="24"/>
        </w:rPr>
      </w:pPr>
      <w:r>
        <w:rPr>
          <w:rFonts w:ascii="宋体" w:hAnsi="宋体" w:eastAsia="宋体"/>
          <w:sz w:val="24"/>
          <w:szCs w:val="24"/>
        </w:rPr>
        <w:drawing>
          <wp:inline distT="0" distB="0" distL="0" distR="0">
            <wp:extent cx="5448300" cy="3105150"/>
            <wp:effectExtent l="19050" t="0" r="0" b="0"/>
            <wp:docPr id="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
                    <pic:cNvPicPr>
                      <a:picLocks noChangeAspect="1" noChangeArrowheads="1"/>
                    </pic:cNvPicPr>
                  </pic:nvPicPr>
                  <pic:blipFill>
                    <a:blip r:embed="rId37"/>
                    <a:srcRect/>
                    <a:stretch>
                      <a:fillRect/>
                    </a:stretch>
                  </pic:blipFill>
                  <pic:spPr>
                    <a:xfrm>
                      <a:off x="0" y="0"/>
                      <a:ext cx="5451323" cy="3106873"/>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图6.2.1.3-2 成交通知书</w:t>
      </w:r>
    </w:p>
    <w:p>
      <w:pPr>
        <w:pStyle w:val="39"/>
        <w:spacing w:line="360" w:lineRule="auto"/>
        <w:ind w:firstLine="480" w:firstLineChars="200"/>
      </w:pPr>
      <w:r>
        <w:rPr>
          <w:rFonts w:hint="eastAsia"/>
        </w:rPr>
        <w:t>3、在上图中，打印和下载“成交通知书”，点击“打印”和“下载”按钮即可。</w:t>
      </w:r>
    </w:p>
    <w:p>
      <w:pPr>
        <w:pStyle w:val="4"/>
      </w:pPr>
      <w:bookmarkStart w:id="92" w:name="_Toc20538"/>
      <w:r>
        <w:rPr>
          <w:rFonts w:hint="eastAsia"/>
        </w:rPr>
        <w:t>6.2.2　竞价记录</w:t>
      </w:r>
      <w:bookmarkEnd w:id="92"/>
    </w:p>
    <w:p>
      <w:pPr>
        <w:pStyle w:val="39"/>
        <w:spacing w:line="360" w:lineRule="auto"/>
        <w:ind w:firstLine="480" w:firstLineChars="200"/>
      </w:pPr>
      <w:r>
        <w:rPr>
          <w:rFonts w:hint="eastAsia"/>
        </w:rPr>
        <w:t>1、在菜单栏选择点击“我的交易”</w:t>
      </w:r>
      <w:r>
        <w:t>—</w:t>
      </w:r>
      <w:r>
        <w:rPr>
          <w:rFonts w:hint="eastAsia"/>
        </w:rPr>
        <w:t>“竞价记录”。如下图所示：</w:t>
      </w:r>
    </w:p>
    <w:p>
      <w:pPr>
        <w:spacing w:line="360" w:lineRule="auto"/>
        <w:jc w:val="left"/>
        <w:rPr>
          <w:rFonts w:ascii="宋体" w:hAnsi="宋体" w:eastAsia="宋体"/>
          <w:sz w:val="24"/>
          <w:szCs w:val="24"/>
        </w:rPr>
      </w:pPr>
      <w:r>
        <w:rPr>
          <w:rFonts w:hint="eastAsia" w:ascii="宋体" w:hAnsi="宋体" w:eastAsia="宋体"/>
          <w:sz w:val="24"/>
          <w:szCs w:val="24"/>
        </w:rPr>
        <w:drawing>
          <wp:inline distT="0" distB="0" distL="0" distR="0">
            <wp:extent cx="5274310" cy="1503680"/>
            <wp:effectExtent l="19050" t="0" r="2540" b="0"/>
            <wp:docPr id="11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4"/>
                    <pic:cNvPicPr>
                      <a:picLocks noChangeAspect="1" noChangeArrowheads="1"/>
                    </pic:cNvPicPr>
                  </pic:nvPicPr>
                  <pic:blipFill>
                    <a:blip r:embed="rId42"/>
                    <a:srcRect/>
                    <a:stretch>
                      <a:fillRect/>
                    </a:stretch>
                  </pic:blipFill>
                  <pic:spPr>
                    <a:xfrm>
                      <a:off x="0" y="0"/>
                      <a:ext cx="5274310" cy="1503898"/>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图6.2.2-1 竞价记录</w:t>
      </w:r>
    </w:p>
    <w:p>
      <w:pPr>
        <w:pStyle w:val="39"/>
        <w:spacing w:line="360" w:lineRule="auto"/>
        <w:ind w:firstLine="480" w:firstLineChars="200"/>
      </w:pPr>
      <w:r>
        <w:rPr>
          <w:rFonts w:hint="eastAsia"/>
        </w:rPr>
        <w:t>2、在上图中，竞买人可以查看自己对每一个标的物每一次竞价记录。</w:t>
      </w:r>
    </w:p>
    <w:p>
      <w:pPr>
        <w:pStyle w:val="2"/>
      </w:pPr>
      <w:bookmarkStart w:id="93" w:name="_Toc28462"/>
      <w:r>
        <w:rPr>
          <w:rFonts w:hint="eastAsia"/>
        </w:rPr>
        <w:t>7　保证金</w:t>
      </w:r>
      <w:bookmarkEnd w:id="93"/>
    </w:p>
    <w:p>
      <w:pPr>
        <w:pStyle w:val="39"/>
        <w:spacing w:line="360" w:lineRule="auto"/>
        <w:ind w:firstLine="480" w:firstLineChars="200"/>
      </w:pPr>
      <w:r>
        <w:rPr>
          <w:rFonts w:hint="eastAsia"/>
        </w:rPr>
        <w:t>1、返回到“河源市公共资源交易平台”。如下图所示：</w:t>
      </w:r>
    </w:p>
    <w:p>
      <w:pPr>
        <w:spacing w:line="360" w:lineRule="auto"/>
        <w:jc w:val="left"/>
      </w:pPr>
      <w:r>
        <w:drawing>
          <wp:inline distT="0" distB="0" distL="0" distR="0">
            <wp:extent cx="5274310" cy="1600200"/>
            <wp:effectExtent l="19050" t="0" r="2540" b="0"/>
            <wp:docPr id="7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5"/>
                    <pic:cNvPicPr>
                      <a:picLocks noChangeAspect="1" noChangeArrowheads="1"/>
                    </pic:cNvPicPr>
                  </pic:nvPicPr>
                  <pic:blipFill>
                    <a:blip r:embed="rId17"/>
                    <a:srcRect b="25333"/>
                    <a:stretch>
                      <a:fillRect/>
                    </a:stretch>
                  </pic:blipFill>
                  <pic:spPr>
                    <a:xfrm>
                      <a:off x="0" y="0"/>
                      <a:ext cx="5274310" cy="160020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图7-1 交易平台</w:t>
      </w:r>
    </w:p>
    <w:p>
      <w:pPr>
        <w:pStyle w:val="39"/>
        <w:spacing w:line="360" w:lineRule="auto"/>
        <w:ind w:firstLine="480" w:firstLineChars="200"/>
      </w:pPr>
      <w:r>
        <w:rPr>
          <w:rFonts w:hint="eastAsia"/>
        </w:rPr>
        <w:t>2、在上图中，点击“保证金”按钮，进入“保证金管理系统”。如下图所示：</w:t>
      </w:r>
    </w:p>
    <w:p>
      <w:pPr>
        <w:spacing w:line="360" w:lineRule="auto"/>
        <w:jc w:val="left"/>
      </w:pPr>
      <w:r>
        <w:rPr>
          <w:rFonts w:hint="eastAsia"/>
        </w:rPr>
        <w:drawing>
          <wp:inline distT="0" distB="0" distL="0" distR="0">
            <wp:extent cx="5274310" cy="2333625"/>
            <wp:effectExtent l="19050" t="0" r="2540" b="0"/>
            <wp:docPr id="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3"/>
                    <pic:cNvPicPr>
                      <a:picLocks noChangeAspect="1" noChangeArrowheads="1"/>
                    </pic:cNvPicPr>
                  </pic:nvPicPr>
                  <pic:blipFill>
                    <a:blip r:embed="rId43"/>
                    <a:srcRect/>
                    <a:stretch>
                      <a:fillRect/>
                    </a:stretch>
                  </pic:blipFill>
                  <pic:spPr>
                    <a:xfrm>
                      <a:off x="0" y="0"/>
                      <a:ext cx="5274310" cy="233362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图7-2 保证金首页</w:t>
      </w:r>
    </w:p>
    <w:p>
      <w:pPr>
        <w:pStyle w:val="3"/>
      </w:pPr>
      <w:bookmarkStart w:id="94" w:name="_Toc32006"/>
      <w:r>
        <w:rPr>
          <w:rFonts w:hint="eastAsia"/>
        </w:rPr>
        <w:t>7.1　保证金查询</w:t>
      </w:r>
      <w:bookmarkEnd w:id="94"/>
    </w:p>
    <w:p>
      <w:pPr>
        <w:pStyle w:val="39"/>
        <w:spacing w:line="360" w:lineRule="auto"/>
        <w:ind w:firstLine="480" w:firstLineChars="200"/>
      </w:pPr>
      <w:r>
        <w:rPr>
          <w:rFonts w:hint="eastAsia"/>
        </w:rPr>
        <w:t>1、在菜单栏选择点击“保证金”</w:t>
      </w:r>
      <w:r>
        <w:t>—</w:t>
      </w:r>
      <w:r>
        <w:rPr>
          <w:rFonts w:hint="eastAsia"/>
        </w:rPr>
        <w:t>“保证金查询”。如下图所示：</w:t>
      </w:r>
    </w:p>
    <w:p>
      <w:pPr>
        <w:pStyle w:val="39"/>
        <w:spacing w:line="360" w:lineRule="auto"/>
        <w:ind w:firstLine="480" w:firstLineChars="200"/>
      </w:pPr>
      <w:r>
        <w:rPr>
          <w:rFonts w:hint="eastAsia"/>
        </w:rPr>
        <w:drawing>
          <wp:inline distT="0" distB="0" distL="0" distR="0">
            <wp:extent cx="5274310" cy="1108075"/>
            <wp:effectExtent l="19050" t="0" r="2540" b="0"/>
            <wp:docPr id="7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9"/>
                    <pic:cNvPicPr>
                      <a:picLocks noChangeAspect="1" noChangeArrowheads="1"/>
                    </pic:cNvPicPr>
                  </pic:nvPicPr>
                  <pic:blipFill>
                    <a:blip r:embed="rId44"/>
                    <a:srcRect/>
                    <a:stretch>
                      <a:fillRect/>
                    </a:stretch>
                  </pic:blipFill>
                  <pic:spPr>
                    <a:xfrm>
                      <a:off x="0" y="0"/>
                      <a:ext cx="5274310" cy="1108138"/>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图7.1-1 保证金查询</w:t>
      </w:r>
    </w:p>
    <w:p>
      <w:pPr>
        <w:pStyle w:val="39"/>
        <w:spacing w:line="360" w:lineRule="auto"/>
        <w:ind w:firstLine="480" w:firstLineChars="200"/>
      </w:pPr>
      <w:r>
        <w:rPr>
          <w:rFonts w:hint="eastAsia"/>
        </w:rPr>
        <w:t>2、在上图中，竞买人可以对标的物进行“应交保证金”和“实交保证金”的查询。</w:t>
      </w:r>
    </w:p>
    <w:p>
      <w:pPr>
        <w:pStyle w:val="3"/>
      </w:pPr>
      <w:bookmarkStart w:id="95" w:name="_Toc20755"/>
      <w:r>
        <w:rPr>
          <w:rFonts w:hint="eastAsia"/>
        </w:rPr>
        <w:t>7.2　到帐查询</w:t>
      </w:r>
      <w:bookmarkEnd w:id="95"/>
    </w:p>
    <w:p>
      <w:pPr>
        <w:pStyle w:val="39"/>
        <w:spacing w:line="360" w:lineRule="auto"/>
        <w:ind w:firstLine="480" w:firstLineChars="200"/>
      </w:pPr>
      <w:r>
        <w:rPr>
          <w:rFonts w:hint="eastAsia"/>
        </w:rPr>
        <w:t>1、在菜单栏选择点击“保证金”</w:t>
      </w:r>
      <w:r>
        <w:t>—</w:t>
      </w:r>
      <w:r>
        <w:rPr>
          <w:rFonts w:hint="eastAsia"/>
        </w:rPr>
        <w:t>“到帐查询”。如下图所示：</w:t>
      </w:r>
    </w:p>
    <w:p>
      <w:pPr>
        <w:pStyle w:val="39"/>
        <w:spacing w:line="360" w:lineRule="auto"/>
        <w:ind w:firstLine="480" w:firstLineChars="200"/>
      </w:pPr>
      <w:r>
        <w:drawing>
          <wp:inline distT="0" distB="0" distL="0" distR="0">
            <wp:extent cx="5274310" cy="1280795"/>
            <wp:effectExtent l="19050" t="0" r="2540" b="0"/>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2"/>
                    <pic:cNvPicPr>
                      <a:picLocks noChangeAspect="1" noChangeArrowheads="1"/>
                    </pic:cNvPicPr>
                  </pic:nvPicPr>
                  <pic:blipFill>
                    <a:blip r:embed="rId45"/>
                    <a:srcRect/>
                    <a:stretch>
                      <a:fillRect/>
                    </a:stretch>
                  </pic:blipFill>
                  <pic:spPr>
                    <a:xfrm>
                      <a:off x="0" y="0"/>
                      <a:ext cx="5274310" cy="1281209"/>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图7.2-1 到帐查询</w:t>
      </w:r>
    </w:p>
    <w:p>
      <w:pPr>
        <w:pStyle w:val="39"/>
        <w:spacing w:line="360" w:lineRule="auto"/>
        <w:ind w:firstLine="480" w:firstLineChars="200"/>
      </w:pPr>
      <w:r>
        <w:rPr>
          <w:rFonts w:hint="eastAsia"/>
        </w:rPr>
        <w:t>2、在上图中，竞买人可以对标的物进行保证金到账查询，主要查询内容为：交款户名、交款账号、交款账户开户行、金额和到账时间。</w:t>
      </w:r>
    </w:p>
    <w:p>
      <w:pPr>
        <w:pStyle w:val="3"/>
      </w:pPr>
      <w:bookmarkStart w:id="96" w:name="_Toc25373"/>
      <w:r>
        <w:rPr>
          <w:rFonts w:hint="eastAsia"/>
        </w:rPr>
        <w:t>7.3　错转款查询</w:t>
      </w:r>
      <w:bookmarkEnd w:id="96"/>
    </w:p>
    <w:p>
      <w:pPr>
        <w:pStyle w:val="39"/>
        <w:spacing w:line="360" w:lineRule="auto"/>
        <w:ind w:firstLine="480" w:firstLineChars="200"/>
      </w:pPr>
      <w:r>
        <w:rPr>
          <w:rFonts w:hint="eastAsia"/>
        </w:rPr>
        <w:t>1、在菜单栏选择点击“保证金”</w:t>
      </w:r>
      <w:r>
        <w:t>—</w:t>
      </w:r>
      <w:r>
        <w:rPr>
          <w:rFonts w:hint="eastAsia"/>
        </w:rPr>
        <w:t>“错转款查询” 。如下图所示：</w:t>
      </w:r>
    </w:p>
    <w:p>
      <w:pPr>
        <w:pStyle w:val="39"/>
        <w:spacing w:line="360" w:lineRule="auto"/>
        <w:ind w:firstLine="480" w:firstLineChars="200"/>
      </w:pPr>
      <w:r>
        <w:rPr>
          <w:rFonts w:hint="eastAsia"/>
        </w:rPr>
        <w:drawing>
          <wp:inline distT="0" distB="0" distL="0" distR="0">
            <wp:extent cx="5274310" cy="1784350"/>
            <wp:effectExtent l="19050" t="0" r="2540" b="0"/>
            <wp:docPr id="7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5"/>
                    <pic:cNvPicPr>
                      <a:picLocks noChangeAspect="1" noChangeArrowheads="1"/>
                    </pic:cNvPicPr>
                  </pic:nvPicPr>
                  <pic:blipFill>
                    <a:blip r:embed="rId46"/>
                    <a:srcRect/>
                    <a:stretch>
                      <a:fillRect/>
                    </a:stretch>
                  </pic:blipFill>
                  <pic:spPr>
                    <a:xfrm>
                      <a:off x="0" y="0"/>
                      <a:ext cx="5274310" cy="1784741"/>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图2.2-1 错转款查询</w:t>
      </w:r>
    </w:p>
    <w:p>
      <w:pPr>
        <w:pStyle w:val="39"/>
        <w:spacing w:line="360" w:lineRule="auto"/>
        <w:ind w:firstLine="480" w:firstLineChars="200"/>
      </w:pPr>
      <w:r>
        <w:rPr>
          <w:rFonts w:hint="eastAsia"/>
        </w:rPr>
        <w:t>2、在上图中，竞买人可以对标的物进行错转款查询，主要查询条件为：没有在规定时间内缴纳保证金；已足额缴纳保证金后因操作失误再次缴纳保证金。</w:t>
      </w:r>
    </w:p>
    <w:p>
      <w:pPr>
        <w:spacing w:line="360" w:lineRule="auto"/>
        <w:jc w:val="left"/>
      </w:pPr>
    </w:p>
    <w:p>
      <w:pPr>
        <w:pStyle w:val="3"/>
      </w:pPr>
      <w:bookmarkStart w:id="97" w:name="_Toc11675"/>
      <w:r>
        <w:rPr>
          <w:rFonts w:hint="eastAsia"/>
        </w:rPr>
        <w:t>7.4　退款查询</w:t>
      </w:r>
      <w:bookmarkEnd w:id="97"/>
    </w:p>
    <w:p>
      <w:pPr>
        <w:pStyle w:val="39"/>
        <w:spacing w:line="360" w:lineRule="auto"/>
        <w:ind w:firstLine="480" w:firstLineChars="200"/>
      </w:pPr>
      <w:r>
        <w:rPr>
          <w:rFonts w:hint="eastAsia"/>
        </w:rPr>
        <w:t>1、在菜单栏选择点击“保证金”</w:t>
      </w:r>
      <w:r>
        <w:t>—</w:t>
      </w:r>
      <w:r>
        <w:rPr>
          <w:rFonts w:hint="eastAsia"/>
        </w:rPr>
        <w:t>“退款查询”。如下图所示：</w:t>
      </w:r>
    </w:p>
    <w:p>
      <w:pPr>
        <w:pStyle w:val="39"/>
        <w:spacing w:line="360" w:lineRule="auto"/>
        <w:ind w:firstLine="480" w:firstLineChars="200"/>
      </w:pPr>
      <w:r>
        <w:rPr>
          <w:rFonts w:hint="eastAsia"/>
        </w:rPr>
        <w:drawing>
          <wp:inline distT="0" distB="0" distL="0" distR="0">
            <wp:extent cx="5274310" cy="1235075"/>
            <wp:effectExtent l="19050" t="0" r="2540" b="0"/>
            <wp:docPr id="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8"/>
                    <pic:cNvPicPr>
                      <a:picLocks noChangeAspect="1" noChangeArrowheads="1"/>
                    </pic:cNvPicPr>
                  </pic:nvPicPr>
                  <pic:blipFill>
                    <a:blip r:embed="rId47"/>
                    <a:srcRect/>
                    <a:stretch>
                      <a:fillRect/>
                    </a:stretch>
                  </pic:blipFill>
                  <pic:spPr>
                    <a:xfrm>
                      <a:off x="0" y="0"/>
                      <a:ext cx="5274310" cy="123509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图2.2-1 退款查询</w:t>
      </w:r>
    </w:p>
    <w:p>
      <w:pPr>
        <w:pStyle w:val="39"/>
        <w:spacing w:line="360" w:lineRule="auto"/>
        <w:ind w:firstLine="480" w:firstLineChars="200"/>
      </w:pPr>
      <w:r>
        <w:rPr>
          <w:rFonts w:hint="eastAsia"/>
        </w:rPr>
        <w:t>2、在上图中，竞买人可以对标的物进行退款查询，主要查询条件为：项目编号、项目名称、状态。</w:t>
      </w:r>
    </w:p>
    <w:p>
      <w:pPr>
        <w:pStyle w:val="39"/>
        <w:spacing w:line="360" w:lineRule="auto"/>
        <w:ind w:firstLine="480" w:firstLineChars="200"/>
      </w:pPr>
      <w:r>
        <w:t>3</w:t>
      </w:r>
      <w:r>
        <w:rPr>
          <w:rFonts w:hint="eastAsia"/>
        </w:rPr>
        <w:t>、在上图中，竞买人查询标的物已退款成功后，竞买人还需核对交款银行帐号的保证金是否退款成功。</w:t>
      </w:r>
    </w:p>
    <w:bookmarkEnd w:id="78"/>
    <w:bookmarkEnd w:id="79"/>
    <w:bookmarkEnd w:id="80"/>
    <w:p>
      <w:pPr>
        <w:pStyle w:val="28"/>
        <w:spacing w:line="360" w:lineRule="auto"/>
        <w:ind w:left="480"/>
        <w:rPr>
          <w:sz w:val="28"/>
          <w:szCs w:val="28"/>
        </w:rPr>
      </w:pPr>
    </w:p>
    <w:p>
      <w:pPr>
        <w:pStyle w:val="28"/>
        <w:spacing w:line="360" w:lineRule="auto"/>
        <w:ind w:left="480"/>
        <w:rPr>
          <w:sz w:val="28"/>
          <w:szCs w:val="28"/>
        </w:rPr>
      </w:pPr>
    </w:p>
    <w:p>
      <w:pPr>
        <w:pStyle w:val="28"/>
        <w:spacing w:line="360" w:lineRule="auto"/>
        <w:ind w:left="480"/>
        <w:rPr>
          <w:sz w:val="28"/>
          <w:szCs w:val="28"/>
        </w:rPr>
      </w:pPr>
    </w:p>
    <w:p>
      <w:pPr>
        <w:pStyle w:val="28"/>
        <w:spacing w:line="360" w:lineRule="auto"/>
        <w:ind w:left="480"/>
        <w:rPr>
          <w:sz w:val="28"/>
          <w:szCs w:val="28"/>
        </w:rPr>
      </w:pPr>
    </w:p>
    <w:sectPr>
      <w:headerReference r:id="rId5" w:type="default"/>
      <w:footerReference r:id="rId6" w:type="default"/>
      <w:pgSz w:w="11906" w:h="16838"/>
      <w:pgMar w:top="1440" w:right="1800" w:bottom="1440" w:left="1800" w:header="851" w:footer="992" w:gutter="0"/>
      <w:cols w:space="425" w:num="1"/>
      <w:titlePg/>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刘雁" w:date="2017-11-09T10:23:00Z" w:initials="">
    <w:p w14:paraId="517B6DD0">
      <w:pPr>
        <w:pStyle w:val="7"/>
      </w:pPr>
      <w:r>
        <w:rPr>
          <w:rFonts w:hint="eastAsia"/>
        </w:rPr>
        <w:t>我点击网址跳转的页面是这个，请核对。后面的内容无法登陆无法查证是否正确，请再核对一遍。</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17B6DD0"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A0204"/>
    <w:charset w:val="00"/>
    <w:family w:val="roman"/>
    <w:pitch w:val="default"/>
    <w:sig w:usb0="E00002FF" w:usb1="4000045F" w:usb2="00000000" w:usb3="00000000" w:csb0="2000019F" w:csb1="00000000"/>
  </w:font>
  <w:font w:name="Calibri">
    <w:panose1 w:val="020F0502020204030204"/>
    <w:charset w:val="00"/>
    <w:family w:val="swiss"/>
    <w:pitch w:val="default"/>
    <w:sig w:usb0="E00002FF" w:usb1="4000ACFF" w:usb2="00000001" w:usb3="00000000" w:csb0="2000019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9084377"/>
    </w:sdtPr>
    <w:sdtContent>
      <w:p>
        <w:pPr>
          <w:pStyle w:val="15"/>
          <w:jc w:val="center"/>
        </w:pPr>
        <w:r>
          <w:fldChar w:fldCharType="begin"/>
        </w:r>
        <w:r>
          <w:instrText xml:space="preserve">PAGE   \* MERGEFORMAT</w:instrText>
        </w:r>
        <w:r>
          <w:fldChar w:fldCharType="separate"/>
        </w:r>
        <w:r>
          <w:rPr>
            <w:lang w:val="zh-CN"/>
          </w:rPr>
          <w:t>32</w:t>
        </w:r>
        <w:r>
          <w:rPr>
            <w:lang w:val="zh-CN"/>
          </w:rPr>
          <w:fldChar w:fldCharType="end"/>
        </w:r>
      </w:p>
    </w:sdtContent>
  </w:sdt>
  <w:p>
    <w:pPr>
      <w:pStyle w:val="1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right"/>
    </w:pPr>
    <w:r>
      <w:rPr>
        <w:rFonts w:hint="eastAsia"/>
      </w:rPr>
      <w:t>深圳市壹平台信息技术有限公司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F96D6D"/>
    <w:multiLevelType w:val="singleLevel"/>
    <w:tmpl w:val="59F96D6D"/>
    <w:lvl w:ilvl="0" w:tentative="0">
      <w:start w:val="1"/>
      <w:numFmt w:val="decimal"/>
      <w:suff w:val="nothing"/>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刘雁">
    <w15:presenceInfo w15:providerId="Windows Live" w15:userId="bcd7fe14fa611e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bordersDoNotSurroundHeader w:val="1"/>
  <w:bordersDoNotSurroundFooter w:val="1"/>
  <w:hideSpellingErrors/>
  <w:hideGrammaticalErrors/>
  <w:trackRevisions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EA6AD6"/>
    <w:rsid w:val="00006696"/>
    <w:rsid w:val="00012F00"/>
    <w:rsid w:val="00017742"/>
    <w:rsid w:val="000235E4"/>
    <w:rsid w:val="00026379"/>
    <w:rsid w:val="00034791"/>
    <w:rsid w:val="0004215C"/>
    <w:rsid w:val="00045ED4"/>
    <w:rsid w:val="00052022"/>
    <w:rsid w:val="0007055D"/>
    <w:rsid w:val="00071C9A"/>
    <w:rsid w:val="0007560E"/>
    <w:rsid w:val="00080D48"/>
    <w:rsid w:val="0008423F"/>
    <w:rsid w:val="000849C6"/>
    <w:rsid w:val="00086549"/>
    <w:rsid w:val="00096B6B"/>
    <w:rsid w:val="000B28F7"/>
    <w:rsid w:val="000C21C0"/>
    <w:rsid w:val="000D5BFA"/>
    <w:rsid w:val="000E311A"/>
    <w:rsid w:val="000E4C1A"/>
    <w:rsid w:val="000F0D0D"/>
    <w:rsid w:val="00123D9F"/>
    <w:rsid w:val="00125EED"/>
    <w:rsid w:val="00135906"/>
    <w:rsid w:val="00143371"/>
    <w:rsid w:val="00144F9C"/>
    <w:rsid w:val="00146B92"/>
    <w:rsid w:val="00150A59"/>
    <w:rsid w:val="00152A87"/>
    <w:rsid w:val="00153732"/>
    <w:rsid w:val="00157830"/>
    <w:rsid w:val="00157FE1"/>
    <w:rsid w:val="00162D29"/>
    <w:rsid w:val="001662DC"/>
    <w:rsid w:val="001707E3"/>
    <w:rsid w:val="0017402A"/>
    <w:rsid w:val="00182610"/>
    <w:rsid w:val="00184623"/>
    <w:rsid w:val="00184830"/>
    <w:rsid w:val="0018759F"/>
    <w:rsid w:val="00191EA6"/>
    <w:rsid w:val="0019252A"/>
    <w:rsid w:val="001975F6"/>
    <w:rsid w:val="001A0E75"/>
    <w:rsid w:val="001A1625"/>
    <w:rsid w:val="001A17BC"/>
    <w:rsid w:val="001A2C9D"/>
    <w:rsid w:val="001B4F46"/>
    <w:rsid w:val="001C62F2"/>
    <w:rsid w:val="001D4EF1"/>
    <w:rsid w:val="001D682A"/>
    <w:rsid w:val="001E192B"/>
    <w:rsid w:val="001E1B1C"/>
    <w:rsid w:val="00204CC8"/>
    <w:rsid w:val="0021082F"/>
    <w:rsid w:val="00220479"/>
    <w:rsid w:val="002274AF"/>
    <w:rsid w:val="002345AC"/>
    <w:rsid w:val="00234833"/>
    <w:rsid w:val="00235045"/>
    <w:rsid w:val="00242E02"/>
    <w:rsid w:val="002625D0"/>
    <w:rsid w:val="00267B0A"/>
    <w:rsid w:val="00275A05"/>
    <w:rsid w:val="002830FF"/>
    <w:rsid w:val="00287DD7"/>
    <w:rsid w:val="0029209B"/>
    <w:rsid w:val="00297263"/>
    <w:rsid w:val="002B03F6"/>
    <w:rsid w:val="002B50FA"/>
    <w:rsid w:val="002C25D5"/>
    <w:rsid w:val="002C33BA"/>
    <w:rsid w:val="002C3864"/>
    <w:rsid w:val="002C4454"/>
    <w:rsid w:val="002D11EC"/>
    <w:rsid w:val="002D2587"/>
    <w:rsid w:val="002D4BF3"/>
    <w:rsid w:val="002E392F"/>
    <w:rsid w:val="002E3D8F"/>
    <w:rsid w:val="002E4B6A"/>
    <w:rsid w:val="002F6377"/>
    <w:rsid w:val="002F6665"/>
    <w:rsid w:val="00311AF6"/>
    <w:rsid w:val="00326771"/>
    <w:rsid w:val="00336CD8"/>
    <w:rsid w:val="00340B00"/>
    <w:rsid w:val="0034165A"/>
    <w:rsid w:val="00345A42"/>
    <w:rsid w:val="003608E5"/>
    <w:rsid w:val="00361D3C"/>
    <w:rsid w:val="0036776F"/>
    <w:rsid w:val="00372627"/>
    <w:rsid w:val="00375B6D"/>
    <w:rsid w:val="003763AD"/>
    <w:rsid w:val="00381950"/>
    <w:rsid w:val="00386061"/>
    <w:rsid w:val="00391146"/>
    <w:rsid w:val="00391B61"/>
    <w:rsid w:val="003A5C6A"/>
    <w:rsid w:val="003B3328"/>
    <w:rsid w:val="003B475C"/>
    <w:rsid w:val="003C6EE7"/>
    <w:rsid w:val="003D5A19"/>
    <w:rsid w:val="003E294E"/>
    <w:rsid w:val="003E3407"/>
    <w:rsid w:val="003F1066"/>
    <w:rsid w:val="0040271B"/>
    <w:rsid w:val="00402B2B"/>
    <w:rsid w:val="00403D6A"/>
    <w:rsid w:val="00414D9B"/>
    <w:rsid w:val="00414E05"/>
    <w:rsid w:val="00416791"/>
    <w:rsid w:val="0042236C"/>
    <w:rsid w:val="00430805"/>
    <w:rsid w:val="00431618"/>
    <w:rsid w:val="00435752"/>
    <w:rsid w:val="004372A5"/>
    <w:rsid w:val="004433B4"/>
    <w:rsid w:val="0044601B"/>
    <w:rsid w:val="00456D42"/>
    <w:rsid w:val="00460876"/>
    <w:rsid w:val="00462780"/>
    <w:rsid w:val="00464C64"/>
    <w:rsid w:val="00467161"/>
    <w:rsid w:val="00476B9B"/>
    <w:rsid w:val="00483AB8"/>
    <w:rsid w:val="0048426E"/>
    <w:rsid w:val="0049025A"/>
    <w:rsid w:val="00491C62"/>
    <w:rsid w:val="00497CD9"/>
    <w:rsid w:val="004B0C28"/>
    <w:rsid w:val="004B4F51"/>
    <w:rsid w:val="004C14DD"/>
    <w:rsid w:val="004D75A8"/>
    <w:rsid w:val="004F0374"/>
    <w:rsid w:val="004F430F"/>
    <w:rsid w:val="004F58C3"/>
    <w:rsid w:val="00513FC0"/>
    <w:rsid w:val="0052425A"/>
    <w:rsid w:val="00524B86"/>
    <w:rsid w:val="00525BE9"/>
    <w:rsid w:val="0052702A"/>
    <w:rsid w:val="00533DD2"/>
    <w:rsid w:val="00541193"/>
    <w:rsid w:val="00542A5A"/>
    <w:rsid w:val="00545711"/>
    <w:rsid w:val="00551710"/>
    <w:rsid w:val="0056427E"/>
    <w:rsid w:val="0056485C"/>
    <w:rsid w:val="005732AE"/>
    <w:rsid w:val="0058420A"/>
    <w:rsid w:val="0058531E"/>
    <w:rsid w:val="00586377"/>
    <w:rsid w:val="005A4685"/>
    <w:rsid w:val="005A63E5"/>
    <w:rsid w:val="005B30BC"/>
    <w:rsid w:val="005B723F"/>
    <w:rsid w:val="005C6F7B"/>
    <w:rsid w:val="005D5353"/>
    <w:rsid w:val="005E66DA"/>
    <w:rsid w:val="005F2870"/>
    <w:rsid w:val="00602F1A"/>
    <w:rsid w:val="00623E18"/>
    <w:rsid w:val="00631654"/>
    <w:rsid w:val="00635C32"/>
    <w:rsid w:val="00640B54"/>
    <w:rsid w:val="006414A1"/>
    <w:rsid w:val="006435F0"/>
    <w:rsid w:val="00645142"/>
    <w:rsid w:val="006618D2"/>
    <w:rsid w:val="00667BC2"/>
    <w:rsid w:val="00682864"/>
    <w:rsid w:val="006935F2"/>
    <w:rsid w:val="00693B41"/>
    <w:rsid w:val="00693F8D"/>
    <w:rsid w:val="006A0BBC"/>
    <w:rsid w:val="006B144B"/>
    <w:rsid w:val="006B34E7"/>
    <w:rsid w:val="006B500A"/>
    <w:rsid w:val="006B77C7"/>
    <w:rsid w:val="006B7FB8"/>
    <w:rsid w:val="006C36E9"/>
    <w:rsid w:val="006C53C2"/>
    <w:rsid w:val="006E263B"/>
    <w:rsid w:val="006E29F6"/>
    <w:rsid w:val="00717E0D"/>
    <w:rsid w:val="00722BF2"/>
    <w:rsid w:val="00730B0E"/>
    <w:rsid w:val="007351B5"/>
    <w:rsid w:val="00735213"/>
    <w:rsid w:val="00735BF0"/>
    <w:rsid w:val="00741826"/>
    <w:rsid w:val="00744074"/>
    <w:rsid w:val="00752DAD"/>
    <w:rsid w:val="007564CD"/>
    <w:rsid w:val="007603B4"/>
    <w:rsid w:val="00760B93"/>
    <w:rsid w:val="007816B4"/>
    <w:rsid w:val="00781E7C"/>
    <w:rsid w:val="007961D1"/>
    <w:rsid w:val="007A5954"/>
    <w:rsid w:val="007B42D4"/>
    <w:rsid w:val="007B5511"/>
    <w:rsid w:val="007C131D"/>
    <w:rsid w:val="007C25F3"/>
    <w:rsid w:val="007C26A2"/>
    <w:rsid w:val="007C320A"/>
    <w:rsid w:val="007D048F"/>
    <w:rsid w:val="007E05DB"/>
    <w:rsid w:val="007E52D1"/>
    <w:rsid w:val="007E693C"/>
    <w:rsid w:val="007F064F"/>
    <w:rsid w:val="007F750C"/>
    <w:rsid w:val="00802C2F"/>
    <w:rsid w:val="00803959"/>
    <w:rsid w:val="00806684"/>
    <w:rsid w:val="00811DCF"/>
    <w:rsid w:val="00812839"/>
    <w:rsid w:val="00813F1D"/>
    <w:rsid w:val="00820251"/>
    <w:rsid w:val="008249CD"/>
    <w:rsid w:val="00824F1A"/>
    <w:rsid w:val="00837748"/>
    <w:rsid w:val="00840738"/>
    <w:rsid w:val="00840DFD"/>
    <w:rsid w:val="0084175D"/>
    <w:rsid w:val="008419EA"/>
    <w:rsid w:val="008555A7"/>
    <w:rsid w:val="00865F1D"/>
    <w:rsid w:val="00867F50"/>
    <w:rsid w:val="00875C09"/>
    <w:rsid w:val="00880C18"/>
    <w:rsid w:val="00890BA1"/>
    <w:rsid w:val="00895BF7"/>
    <w:rsid w:val="008A008D"/>
    <w:rsid w:val="008A295B"/>
    <w:rsid w:val="008B679A"/>
    <w:rsid w:val="008B6941"/>
    <w:rsid w:val="008C5328"/>
    <w:rsid w:val="008C5DFD"/>
    <w:rsid w:val="008E03EF"/>
    <w:rsid w:val="008F23E2"/>
    <w:rsid w:val="008F38B9"/>
    <w:rsid w:val="008F6D0A"/>
    <w:rsid w:val="00911A7A"/>
    <w:rsid w:val="00916345"/>
    <w:rsid w:val="00917459"/>
    <w:rsid w:val="0092230E"/>
    <w:rsid w:val="00940EC2"/>
    <w:rsid w:val="00945134"/>
    <w:rsid w:val="009517D5"/>
    <w:rsid w:val="00953D07"/>
    <w:rsid w:val="009561A6"/>
    <w:rsid w:val="009662D2"/>
    <w:rsid w:val="00966763"/>
    <w:rsid w:val="00966E65"/>
    <w:rsid w:val="009745D1"/>
    <w:rsid w:val="00976242"/>
    <w:rsid w:val="00987353"/>
    <w:rsid w:val="00990C80"/>
    <w:rsid w:val="009A5A44"/>
    <w:rsid w:val="009B1ADB"/>
    <w:rsid w:val="009B2739"/>
    <w:rsid w:val="009B5DBE"/>
    <w:rsid w:val="009D2013"/>
    <w:rsid w:val="009D579B"/>
    <w:rsid w:val="009D7113"/>
    <w:rsid w:val="009D7C79"/>
    <w:rsid w:val="009E3BFD"/>
    <w:rsid w:val="009E6F34"/>
    <w:rsid w:val="00A04597"/>
    <w:rsid w:val="00A24086"/>
    <w:rsid w:val="00A25829"/>
    <w:rsid w:val="00A3234F"/>
    <w:rsid w:val="00A32B64"/>
    <w:rsid w:val="00A56BA3"/>
    <w:rsid w:val="00A571CC"/>
    <w:rsid w:val="00A658FA"/>
    <w:rsid w:val="00A77A31"/>
    <w:rsid w:val="00A92389"/>
    <w:rsid w:val="00A936A7"/>
    <w:rsid w:val="00AA3EAD"/>
    <w:rsid w:val="00AB1096"/>
    <w:rsid w:val="00AB10FA"/>
    <w:rsid w:val="00AB6FC4"/>
    <w:rsid w:val="00AC0E8D"/>
    <w:rsid w:val="00AC40A9"/>
    <w:rsid w:val="00AE7BD2"/>
    <w:rsid w:val="00AF0B50"/>
    <w:rsid w:val="00AF3D31"/>
    <w:rsid w:val="00B0775F"/>
    <w:rsid w:val="00B10939"/>
    <w:rsid w:val="00B14031"/>
    <w:rsid w:val="00B26558"/>
    <w:rsid w:val="00B2743E"/>
    <w:rsid w:val="00B32008"/>
    <w:rsid w:val="00B54642"/>
    <w:rsid w:val="00B650BA"/>
    <w:rsid w:val="00B6626E"/>
    <w:rsid w:val="00B77C31"/>
    <w:rsid w:val="00B80913"/>
    <w:rsid w:val="00B92414"/>
    <w:rsid w:val="00B97201"/>
    <w:rsid w:val="00BA4268"/>
    <w:rsid w:val="00BB5B91"/>
    <w:rsid w:val="00BC22A0"/>
    <w:rsid w:val="00BC381A"/>
    <w:rsid w:val="00BC4064"/>
    <w:rsid w:val="00BC59A8"/>
    <w:rsid w:val="00BD054E"/>
    <w:rsid w:val="00BE3E36"/>
    <w:rsid w:val="00BE5BD3"/>
    <w:rsid w:val="00BE64F5"/>
    <w:rsid w:val="00C0373B"/>
    <w:rsid w:val="00C061E5"/>
    <w:rsid w:val="00C10991"/>
    <w:rsid w:val="00C12C8A"/>
    <w:rsid w:val="00C17427"/>
    <w:rsid w:val="00C21DBE"/>
    <w:rsid w:val="00C33F49"/>
    <w:rsid w:val="00C43A14"/>
    <w:rsid w:val="00C560C2"/>
    <w:rsid w:val="00C57A1C"/>
    <w:rsid w:val="00C67FA0"/>
    <w:rsid w:val="00C7076F"/>
    <w:rsid w:val="00C77B3A"/>
    <w:rsid w:val="00C81C86"/>
    <w:rsid w:val="00C86FFC"/>
    <w:rsid w:val="00C90DB4"/>
    <w:rsid w:val="00CA470C"/>
    <w:rsid w:val="00CA4E8A"/>
    <w:rsid w:val="00CA5335"/>
    <w:rsid w:val="00CA57FA"/>
    <w:rsid w:val="00CC6996"/>
    <w:rsid w:val="00CC701A"/>
    <w:rsid w:val="00CE60EC"/>
    <w:rsid w:val="00D00897"/>
    <w:rsid w:val="00D10121"/>
    <w:rsid w:val="00D12214"/>
    <w:rsid w:val="00D24202"/>
    <w:rsid w:val="00D309E4"/>
    <w:rsid w:val="00D30A79"/>
    <w:rsid w:val="00D32547"/>
    <w:rsid w:val="00D3375F"/>
    <w:rsid w:val="00D429FC"/>
    <w:rsid w:val="00D53761"/>
    <w:rsid w:val="00D658C5"/>
    <w:rsid w:val="00DA3557"/>
    <w:rsid w:val="00DA6E6E"/>
    <w:rsid w:val="00DB1684"/>
    <w:rsid w:val="00DB16E1"/>
    <w:rsid w:val="00DB1D03"/>
    <w:rsid w:val="00DB2D15"/>
    <w:rsid w:val="00DC14B9"/>
    <w:rsid w:val="00DC62D1"/>
    <w:rsid w:val="00DE7E05"/>
    <w:rsid w:val="00E0191F"/>
    <w:rsid w:val="00E26DB2"/>
    <w:rsid w:val="00E33234"/>
    <w:rsid w:val="00E36593"/>
    <w:rsid w:val="00E50F8B"/>
    <w:rsid w:val="00E565F8"/>
    <w:rsid w:val="00E6070D"/>
    <w:rsid w:val="00E65A9D"/>
    <w:rsid w:val="00E70C15"/>
    <w:rsid w:val="00E77F8D"/>
    <w:rsid w:val="00E917EC"/>
    <w:rsid w:val="00EA2DD2"/>
    <w:rsid w:val="00EA3EE9"/>
    <w:rsid w:val="00EA50E5"/>
    <w:rsid w:val="00EA6AD6"/>
    <w:rsid w:val="00EA7200"/>
    <w:rsid w:val="00EB433C"/>
    <w:rsid w:val="00EC47D2"/>
    <w:rsid w:val="00EF339A"/>
    <w:rsid w:val="00EF66CD"/>
    <w:rsid w:val="00F20D70"/>
    <w:rsid w:val="00F222A5"/>
    <w:rsid w:val="00F2437B"/>
    <w:rsid w:val="00F448B6"/>
    <w:rsid w:val="00F47EC6"/>
    <w:rsid w:val="00F60997"/>
    <w:rsid w:val="00F801E1"/>
    <w:rsid w:val="00F82E0E"/>
    <w:rsid w:val="00FB755D"/>
    <w:rsid w:val="00FC2820"/>
    <w:rsid w:val="00FC71E5"/>
    <w:rsid w:val="00FD14AF"/>
    <w:rsid w:val="00FD4E62"/>
    <w:rsid w:val="00FF41AB"/>
    <w:rsid w:val="019473B7"/>
    <w:rsid w:val="01CD293F"/>
    <w:rsid w:val="04C75F53"/>
    <w:rsid w:val="04C83242"/>
    <w:rsid w:val="08C239F9"/>
    <w:rsid w:val="09FD7329"/>
    <w:rsid w:val="0A150FA9"/>
    <w:rsid w:val="0E0F1038"/>
    <w:rsid w:val="0F8C365F"/>
    <w:rsid w:val="0F8D197F"/>
    <w:rsid w:val="119755CD"/>
    <w:rsid w:val="11EF05E4"/>
    <w:rsid w:val="13623E1E"/>
    <w:rsid w:val="14616EDE"/>
    <w:rsid w:val="14DE1350"/>
    <w:rsid w:val="157A0E1D"/>
    <w:rsid w:val="16362376"/>
    <w:rsid w:val="16F5373F"/>
    <w:rsid w:val="19CE0598"/>
    <w:rsid w:val="1A133FD2"/>
    <w:rsid w:val="1ABA7C62"/>
    <w:rsid w:val="1BB51D48"/>
    <w:rsid w:val="1BED71FB"/>
    <w:rsid w:val="1C9F5270"/>
    <w:rsid w:val="1CC03446"/>
    <w:rsid w:val="1E123235"/>
    <w:rsid w:val="1FA9294B"/>
    <w:rsid w:val="20D44333"/>
    <w:rsid w:val="21763ABC"/>
    <w:rsid w:val="21FA5FC4"/>
    <w:rsid w:val="230A7350"/>
    <w:rsid w:val="24035B80"/>
    <w:rsid w:val="24D11632"/>
    <w:rsid w:val="253534B4"/>
    <w:rsid w:val="25541673"/>
    <w:rsid w:val="26C22EF4"/>
    <w:rsid w:val="2773010C"/>
    <w:rsid w:val="28333944"/>
    <w:rsid w:val="284B3CBC"/>
    <w:rsid w:val="28DF5EC9"/>
    <w:rsid w:val="29A61E9F"/>
    <w:rsid w:val="29F11105"/>
    <w:rsid w:val="2A2767B1"/>
    <w:rsid w:val="2ADD64D2"/>
    <w:rsid w:val="2B2D41F7"/>
    <w:rsid w:val="2B8E24EB"/>
    <w:rsid w:val="2BBF0E89"/>
    <w:rsid w:val="2D052F30"/>
    <w:rsid w:val="2D5861DD"/>
    <w:rsid w:val="2DBD055C"/>
    <w:rsid w:val="2DF62D77"/>
    <w:rsid w:val="2F7D1434"/>
    <w:rsid w:val="30347F1D"/>
    <w:rsid w:val="30570F31"/>
    <w:rsid w:val="32230F64"/>
    <w:rsid w:val="328C0043"/>
    <w:rsid w:val="33803AAA"/>
    <w:rsid w:val="3470359D"/>
    <w:rsid w:val="35527A5D"/>
    <w:rsid w:val="366E209E"/>
    <w:rsid w:val="36D82B61"/>
    <w:rsid w:val="37015482"/>
    <w:rsid w:val="38795231"/>
    <w:rsid w:val="389D06D7"/>
    <w:rsid w:val="3D6861C8"/>
    <w:rsid w:val="3EF07A30"/>
    <w:rsid w:val="40CB374B"/>
    <w:rsid w:val="41925A1F"/>
    <w:rsid w:val="426B5C76"/>
    <w:rsid w:val="437312C0"/>
    <w:rsid w:val="44430FEA"/>
    <w:rsid w:val="46621A1B"/>
    <w:rsid w:val="48522010"/>
    <w:rsid w:val="48E77C81"/>
    <w:rsid w:val="49C6490D"/>
    <w:rsid w:val="4A0C09D9"/>
    <w:rsid w:val="4C9F275C"/>
    <w:rsid w:val="4DB33AF6"/>
    <w:rsid w:val="4DC65310"/>
    <w:rsid w:val="4E3D1016"/>
    <w:rsid w:val="4EAC7127"/>
    <w:rsid w:val="4F153448"/>
    <w:rsid w:val="51C65F95"/>
    <w:rsid w:val="51D229B8"/>
    <w:rsid w:val="537321E2"/>
    <w:rsid w:val="54925C33"/>
    <w:rsid w:val="550B575E"/>
    <w:rsid w:val="552A5C1E"/>
    <w:rsid w:val="55925357"/>
    <w:rsid w:val="56947FFD"/>
    <w:rsid w:val="56D12DCB"/>
    <w:rsid w:val="575B42F1"/>
    <w:rsid w:val="57C301CE"/>
    <w:rsid w:val="59FE2AEB"/>
    <w:rsid w:val="5A5B24B6"/>
    <w:rsid w:val="5C224C35"/>
    <w:rsid w:val="5C653B99"/>
    <w:rsid w:val="5C791294"/>
    <w:rsid w:val="5C92454E"/>
    <w:rsid w:val="5D9654B9"/>
    <w:rsid w:val="5D9714F0"/>
    <w:rsid w:val="5EBE0686"/>
    <w:rsid w:val="5F450330"/>
    <w:rsid w:val="5FD037EC"/>
    <w:rsid w:val="6040511A"/>
    <w:rsid w:val="60CC312E"/>
    <w:rsid w:val="60F013DC"/>
    <w:rsid w:val="63B231B4"/>
    <w:rsid w:val="64215536"/>
    <w:rsid w:val="64E13E7C"/>
    <w:rsid w:val="66414725"/>
    <w:rsid w:val="67F005A6"/>
    <w:rsid w:val="69381DC9"/>
    <w:rsid w:val="694E0162"/>
    <w:rsid w:val="6AA50146"/>
    <w:rsid w:val="6BDD6117"/>
    <w:rsid w:val="6C531F7B"/>
    <w:rsid w:val="6FEC749D"/>
    <w:rsid w:val="729D5DB3"/>
    <w:rsid w:val="72C871E1"/>
    <w:rsid w:val="76396572"/>
    <w:rsid w:val="76740F27"/>
    <w:rsid w:val="76AB38A6"/>
    <w:rsid w:val="773234EA"/>
    <w:rsid w:val="780B219A"/>
    <w:rsid w:val="788F6D4F"/>
    <w:rsid w:val="79250A98"/>
    <w:rsid w:val="7A6345C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5"/>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3"/>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2">
    <w:name w:val="Default Paragraph Font"/>
    <w:unhideWhenUsed/>
    <w:uiPriority w:val="1"/>
  </w:style>
  <w:style w:type="table" w:default="1" w:styleId="25">
    <w:name w:val="Normal Table"/>
    <w:unhideWhenUsed/>
    <w:uiPriority w:val="99"/>
    <w:tblPr>
      <w:tblLayout w:type="fixed"/>
      <w:tblCellMar>
        <w:top w:w="0" w:type="dxa"/>
        <w:left w:w="108" w:type="dxa"/>
        <w:bottom w:w="0" w:type="dxa"/>
        <w:right w:w="108" w:type="dxa"/>
      </w:tblCellMar>
    </w:tblPr>
  </w:style>
  <w:style w:type="paragraph" w:styleId="6">
    <w:name w:val="annotation subject"/>
    <w:basedOn w:val="7"/>
    <w:next w:val="7"/>
    <w:link w:val="47"/>
    <w:unhideWhenUsed/>
    <w:uiPriority w:val="99"/>
    <w:rPr>
      <w:b/>
      <w:bCs/>
    </w:rPr>
  </w:style>
  <w:style w:type="paragraph" w:styleId="7">
    <w:name w:val="annotation text"/>
    <w:basedOn w:val="1"/>
    <w:link w:val="46"/>
    <w:unhideWhenUsed/>
    <w:uiPriority w:val="99"/>
    <w:pPr>
      <w:jc w:val="left"/>
    </w:pPr>
  </w:style>
  <w:style w:type="paragraph" w:styleId="8">
    <w:name w:val="toc 7"/>
    <w:basedOn w:val="1"/>
    <w:next w:val="1"/>
    <w:unhideWhenUsed/>
    <w:qFormat/>
    <w:uiPriority w:val="39"/>
    <w:pPr>
      <w:ind w:left="1260"/>
      <w:jc w:val="left"/>
    </w:pPr>
    <w:rPr>
      <w:rFonts w:cstheme="minorHAnsi"/>
      <w:sz w:val="18"/>
      <w:szCs w:val="18"/>
    </w:rPr>
  </w:style>
  <w:style w:type="paragraph" w:styleId="9">
    <w:name w:val="Document Map"/>
    <w:basedOn w:val="1"/>
    <w:link w:val="42"/>
    <w:unhideWhenUsed/>
    <w:qFormat/>
    <w:uiPriority w:val="99"/>
    <w:rPr>
      <w:rFonts w:ascii="宋体" w:eastAsia="宋体"/>
      <w:sz w:val="18"/>
      <w:szCs w:val="18"/>
    </w:rPr>
  </w:style>
  <w:style w:type="paragraph" w:styleId="10">
    <w:name w:val="toc 5"/>
    <w:basedOn w:val="1"/>
    <w:next w:val="1"/>
    <w:unhideWhenUsed/>
    <w:qFormat/>
    <w:uiPriority w:val="39"/>
    <w:pPr>
      <w:ind w:left="840"/>
      <w:jc w:val="left"/>
    </w:pPr>
    <w:rPr>
      <w:rFonts w:cstheme="minorHAnsi"/>
      <w:sz w:val="18"/>
      <w:szCs w:val="18"/>
    </w:rPr>
  </w:style>
  <w:style w:type="paragraph" w:styleId="11">
    <w:name w:val="toc 3"/>
    <w:basedOn w:val="1"/>
    <w:next w:val="1"/>
    <w:unhideWhenUsed/>
    <w:qFormat/>
    <w:uiPriority w:val="39"/>
    <w:pPr>
      <w:ind w:left="420"/>
      <w:jc w:val="left"/>
    </w:pPr>
    <w:rPr>
      <w:rFonts w:eastAsia="宋体" w:cstheme="minorHAnsi"/>
      <w:iCs/>
      <w:sz w:val="24"/>
      <w:szCs w:val="20"/>
    </w:rPr>
  </w:style>
  <w:style w:type="paragraph" w:styleId="12">
    <w:name w:val="toc 8"/>
    <w:basedOn w:val="1"/>
    <w:next w:val="1"/>
    <w:unhideWhenUsed/>
    <w:qFormat/>
    <w:uiPriority w:val="39"/>
    <w:pPr>
      <w:ind w:left="1470"/>
      <w:jc w:val="left"/>
    </w:pPr>
    <w:rPr>
      <w:rFonts w:cstheme="minorHAnsi"/>
      <w:sz w:val="18"/>
      <w:szCs w:val="18"/>
    </w:rPr>
  </w:style>
  <w:style w:type="paragraph" w:styleId="13">
    <w:name w:val="Date"/>
    <w:basedOn w:val="1"/>
    <w:next w:val="1"/>
    <w:link w:val="38"/>
    <w:qFormat/>
    <w:uiPriority w:val="0"/>
    <w:pPr>
      <w:adjustRightInd w:val="0"/>
      <w:spacing w:line="360" w:lineRule="auto"/>
      <w:ind w:left="100"/>
      <w:textAlignment w:val="baseline"/>
    </w:pPr>
    <w:rPr>
      <w:rFonts w:ascii="Times New Roman" w:hAnsi="Times New Roman" w:eastAsia="宋体" w:cs="Times New Roman"/>
      <w:b/>
      <w:sz w:val="28"/>
      <w:szCs w:val="20"/>
    </w:rPr>
  </w:style>
  <w:style w:type="paragraph" w:styleId="14">
    <w:name w:val="Balloon Text"/>
    <w:basedOn w:val="1"/>
    <w:link w:val="29"/>
    <w:unhideWhenUsed/>
    <w:qFormat/>
    <w:uiPriority w:val="99"/>
    <w:rPr>
      <w:sz w:val="18"/>
      <w:szCs w:val="18"/>
    </w:rPr>
  </w:style>
  <w:style w:type="paragraph" w:styleId="15">
    <w:name w:val="footer"/>
    <w:basedOn w:val="1"/>
    <w:link w:val="27"/>
    <w:unhideWhenUsed/>
    <w:qFormat/>
    <w:uiPriority w:val="99"/>
    <w:pPr>
      <w:tabs>
        <w:tab w:val="center" w:pos="4153"/>
        <w:tab w:val="right" w:pos="8306"/>
      </w:tabs>
      <w:snapToGrid w:val="0"/>
      <w:jc w:val="left"/>
    </w:pPr>
    <w:rPr>
      <w:sz w:val="18"/>
      <w:szCs w:val="18"/>
    </w:rPr>
  </w:style>
  <w:style w:type="paragraph" w:styleId="16">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tabs>
        <w:tab w:val="right" w:leader="dot" w:pos="8296"/>
      </w:tabs>
      <w:spacing w:before="120" w:after="120" w:line="360" w:lineRule="auto"/>
      <w:jc w:val="left"/>
    </w:pPr>
    <w:rPr>
      <w:rFonts w:eastAsia="宋体" w:cstheme="minorHAnsi"/>
      <w:bCs/>
      <w:caps/>
      <w:sz w:val="24"/>
      <w:szCs w:val="20"/>
    </w:rPr>
  </w:style>
  <w:style w:type="paragraph" w:styleId="18">
    <w:name w:val="toc 4"/>
    <w:basedOn w:val="1"/>
    <w:next w:val="1"/>
    <w:unhideWhenUsed/>
    <w:qFormat/>
    <w:uiPriority w:val="39"/>
    <w:pPr>
      <w:ind w:left="630"/>
      <w:jc w:val="left"/>
    </w:pPr>
    <w:rPr>
      <w:rFonts w:cstheme="minorHAnsi"/>
      <w:sz w:val="18"/>
      <w:szCs w:val="18"/>
    </w:rPr>
  </w:style>
  <w:style w:type="paragraph" w:styleId="19">
    <w:name w:val="toc 6"/>
    <w:basedOn w:val="1"/>
    <w:next w:val="1"/>
    <w:unhideWhenUsed/>
    <w:qFormat/>
    <w:uiPriority w:val="39"/>
    <w:pPr>
      <w:ind w:left="1050"/>
      <w:jc w:val="left"/>
    </w:pPr>
    <w:rPr>
      <w:rFonts w:cstheme="minorHAnsi"/>
      <w:sz w:val="18"/>
      <w:szCs w:val="18"/>
    </w:rPr>
  </w:style>
  <w:style w:type="paragraph" w:styleId="20">
    <w:name w:val="toc 2"/>
    <w:basedOn w:val="1"/>
    <w:next w:val="1"/>
    <w:unhideWhenUsed/>
    <w:qFormat/>
    <w:uiPriority w:val="39"/>
    <w:pPr>
      <w:ind w:left="210"/>
      <w:jc w:val="left"/>
    </w:pPr>
    <w:rPr>
      <w:rFonts w:eastAsia="宋体" w:cstheme="minorHAnsi"/>
      <w:smallCaps/>
      <w:sz w:val="24"/>
      <w:szCs w:val="20"/>
    </w:rPr>
  </w:style>
  <w:style w:type="paragraph" w:styleId="21">
    <w:name w:val="toc 9"/>
    <w:basedOn w:val="1"/>
    <w:next w:val="1"/>
    <w:unhideWhenUsed/>
    <w:qFormat/>
    <w:uiPriority w:val="39"/>
    <w:pPr>
      <w:ind w:left="1680"/>
      <w:jc w:val="left"/>
    </w:pPr>
    <w:rPr>
      <w:rFonts w:cstheme="minorHAnsi"/>
      <w:sz w:val="18"/>
      <w:szCs w:val="18"/>
    </w:rPr>
  </w:style>
  <w:style w:type="character" w:styleId="23">
    <w:name w:val="Hyperlink"/>
    <w:basedOn w:val="22"/>
    <w:unhideWhenUsed/>
    <w:qFormat/>
    <w:uiPriority w:val="99"/>
    <w:rPr>
      <w:color w:val="0000FF" w:themeColor="hyperlink"/>
      <w:u w:val="single"/>
    </w:rPr>
  </w:style>
  <w:style w:type="character" w:styleId="24">
    <w:name w:val="annotation reference"/>
    <w:basedOn w:val="22"/>
    <w:unhideWhenUsed/>
    <w:uiPriority w:val="99"/>
    <w:rPr>
      <w:sz w:val="21"/>
      <w:szCs w:val="21"/>
    </w:rPr>
  </w:style>
  <w:style w:type="character" w:customStyle="1" w:styleId="26">
    <w:name w:val="页眉 字符"/>
    <w:basedOn w:val="22"/>
    <w:link w:val="16"/>
    <w:qFormat/>
    <w:uiPriority w:val="99"/>
    <w:rPr>
      <w:sz w:val="18"/>
      <w:szCs w:val="18"/>
    </w:rPr>
  </w:style>
  <w:style w:type="character" w:customStyle="1" w:styleId="27">
    <w:name w:val="页脚 字符"/>
    <w:basedOn w:val="22"/>
    <w:link w:val="15"/>
    <w:qFormat/>
    <w:uiPriority w:val="99"/>
    <w:rPr>
      <w:sz w:val="18"/>
      <w:szCs w:val="18"/>
    </w:rPr>
  </w:style>
  <w:style w:type="paragraph" w:customStyle="1" w:styleId="28">
    <w:name w:val="Default"/>
    <w:link w:val="40"/>
    <w:qFormat/>
    <w:uiPriority w:val="0"/>
    <w:pPr>
      <w:widowControl w:val="0"/>
      <w:autoSpaceDE w:val="0"/>
      <w:autoSpaceDN w:val="0"/>
      <w:adjustRightInd w:val="0"/>
    </w:pPr>
    <w:rPr>
      <w:rFonts w:ascii="Calibri" w:hAnsi="Calibri" w:cs="Calibri" w:eastAsiaTheme="minorEastAsia"/>
      <w:color w:val="000000"/>
      <w:sz w:val="24"/>
      <w:szCs w:val="24"/>
      <w:lang w:val="en-US" w:eastAsia="zh-CN" w:bidi="ar-SA"/>
    </w:rPr>
  </w:style>
  <w:style w:type="character" w:customStyle="1" w:styleId="29">
    <w:name w:val="批注框文本 字符"/>
    <w:basedOn w:val="22"/>
    <w:link w:val="14"/>
    <w:semiHidden/>
    <w:qFormat/>
    <w:uiPriority w:val="99"/>
    <w:rPr>
      <w:sz w:val="18"/>
      <w:szCs w:val="18"/>
    </w:rPr>
  </w:style>
  <w:style w:type="paragraph" w:customStyle="1" w:styleId="30">
    <w:name w:val="列出段落1"/>
    <w:basedOn w:val="1"/>
    <w:qFormat/>
    <w:uiPriority w:val="34"/>
    <w:pPr>
      <w:ind w:firstLine="420" w:firstLineChars="200"/>
    </w:pPr>
  </w:style>
  <w:style w:type="character" w:customStyle="1" w:styleId="31">
    <w:name w:val="标题 2 字符"/>
    <w:basedOn w:val="22"/>
    <w:link w:val="3"/>
    <w:qFormat/>
    <w:uiPriority w:val="9"/>
    <w:rPr>
      <w:rFonts w:asciiTheme="majorHAnsi" w:hAnsiTheme="majorHAnsi" w:eastAsiaTheme="majorEastAsia" w:cstheme="majorBidi"/>
      <w:b/>
      <w:bCs/>
      <w:sz w:val="32"/>
      <w:szCs w:val="32"/>
    </w:rPr>
  </w:style>
  <w:style w:type="character" w:customStyle="1" w:styleId="32">
    <w:name w:val="标题 3 字符"/>
    <w:basedOn w:val="22"/>
    <w:link w:val="4"/>
    <w:qFormat/>
    <w:uiPriority w:val="9"/>
    <w:rPr>
      <w:b/>
      <w:bCs/>
      <w:sz w:val="32"/>
      <w:szCs w:val="32"/>
    </w:rPr>
  </w:style>
  <w:style w:type="character" w:customStyle="1" w:styleId="33">
    <w:name w:val="标题 4 字符"/>
    <w:basedOn w:val="22"/>
    <w:link w:val="5"/>
    <w:qFormat/>
    <w:uiPriority w:val="9"/>
    <w:rPr>
      <w:rFonts w:asciiTheme="majorHAnsi" w:hAnsiTheme="majorHAnsi" w:eastAsiaTheme="majorEastAsia" w:cstheme="majorBidi"/>
      <w:b/>
      <w:bCs/>
      <w:sz w:val="28"/>
      <w:szCs w:val="28"/>
    </w:rPr>
  </w:style>
  <w:style w:type="paragraph" w:customStyle="1" w:styleId="34">
    <w:name w:val="无间隔1"/>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35">
    <w:name w:val="标题 1 字符"/>
    <w:basedOn w:val="22"/>
    <w:link w:val="2"/>
    <w:qFormat/>
    <w:uiPriority w:val="9"/>
    <w:rPr>
      <w:b/>
      <w:bCs/>
      <w:kern w:val="44"/>
      <w:sz w:val="44"/>
      <w:szCs w:val="44"/>
    </w:rPr>
  </w:style>
  <w:style w:type="paragraph" w:customStyle="1" w:styleId="3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paragraph" w:customStyle="1" w:styleId="37">
    <w:name w:val="标准"/>
    <w:basedOn w:val="1"/>
    <w:qFormat/>
    <w:uiPriority w:val="0"/>
    <w:pPr>
      <w:pBdr>
        <w:bottom w:val="single" w:color="auto" w:sz="6" w:space="1"/>
      </w:pBdr>
      <w:adjustRightInd w:val="0"/>
      <w:spacing w:line="360" w:lineRule="auto"/>
      <w:textAlignment w:val="baseline"/>
    </w:pPr>
    <w:rPr>
      <w:rFonts w:ascii="宋体" w:hAnsi="宋体" w:eastAsia="宋体" w:cs="Times New Roman"/>
      <w:sz w:val="24"/>
      <w:szCs w:val="20"/>
    </w:rPr>
  </w:style>
  <w:style w:type="character" w:customStyle="1" w:styleId="38">
    <w:name w:val="日期 字符"/>
    <w:basedOn w:val="22"/>
    <w:link w:val="13"/>
    <w:qFormat/>
    <w:uiPriority w:val="0"/>
    <w:rPr>
      <w:rFonts w:ascii="Times New Roman" w:hAnsi="Times New Roman" w:eastAsia="宋体" w:cs="Times New Roman"/>
      <w:b/>
      <w:sz w:val="28"/>
      <w:szCs w:val="20"/>
    </w:rPr>
  </w:style>
  <w:style w:type="paragraph" w:customStyle="1" w:styleId="39">
    <w:name w:val="小四"/>
    <w:basedOn w:val="28"/>
    <w:link w:val="41"/>
    <w:qFormat/>
    <w:uiPriority w:val="0"/>
    <w:rPr>
      <w:rFonts w:ascii="宋体" w:hAnsi="宋体" w:eastAsia="宋体" w:cs="宋体"/>
      <w:color w:val="auto"/>
    </w:rPr>
  </w:style>
  <w:style w:type="character" w:customStyle="1" w:styleId="40">
    <w:name w:val="Default Char"/>
    <w:basedOn w:val="22"/>
    <w:link w:val="28"/>
    <w:qFormat/>
    <w:uiPriority w:val="0"/>
    <w:rPr>
      <w:rFonts w:ascii="Calibri" w:hAnsi="Calibri" w:cs="Calibri"/>
      <w:color w:val="000000"/>
      <w:kern w:val="0"/>
      <w:sz w:val="24"/>
      <w:szCs w:val="24"/>
    </w:rPr>
  </w:style>
  <w:style w:type="character" w:customStyle="1" w:styleId="41">
    <w:name w:val="小四 Char"/>
    <w:basedOn w:val="40"/>
    <w:link w:val="39"/>
    <w:qFormat/>
    <w:uiPriority w:val="0"/>
    <w:rPr>
      <w:rFonts w:ascii="宋体" w:hAnsi="宋体" w:eastAsia="宋体" w:cs="宋体"/>
      <w:color w:val="000000"/>
      <w:kern w:val="0"/>
      <w:sz w:val="24"/>
      <w:szCs w:val="24"/>
    </w:rPr>
  </w:style>
  <w:style w:type="character" w:customStyle="1" w:styleId="42">
    <w:name w:val="文档结构图 字符"/>
    <w:basedOn w:val="22"/>
    <w:link w:val="9"/>
    <w:semiHidden/>
    <w:qFormat/>
    <w:uiPriority w:val="99"/>
    <w:rPr>
      <w:rFonts w:ascii="宋体" w:eastAsia="宋体"/>
      <w:sz w:val="18"/>
      <w:szCs w:val="18"/>
    </w:rPr>
  </w:style>
  <w:style w:type="paragraph" w:styleId="43">
    <w:name w:val="No Spacing"/>
    <w:link w:val="44"/>
    <w:qFormat/>
    <w:uiPriority w:val="1"/>
    <w:rPr>
      <w:rFonts w:asciiTheme="minorHAnsi" w:hAnsiTheme="minorHAnsi" w:eastAsiaTheme="minorEastAsia" w:cstheme="minorBidi"/>
      <w:sz w:val="22"/>
      <w:szCs w:val="22"/>
      <w:lang w:val="en-US" w:eastAsia="zh-CN" w:bidi="ar-SA"/>
    </w:rPr>
  </w:style>
  <w:style w:type="character" w:customStyle="1" w:styleId="44">
    <w:name w:val="无间隔 字符"/>
    <w:basedOn w:val="22"/>
    <w:link w:val="43"/>
    <w:qFormat/>
    <w:uiPriority w:val="1"/>
    <w:rPr>
      <w:sz w:val="22"/>
      <w:szCs w:val="22"/>
    </w:rPr>
  </w:style>
  <w:style w:type="paragraph" w:styleId="45">
    <w:name w:val="List Paragraph"/>
    <w:basedOn w:val="1"/>
    <w:unhideWhenUsed/>
    <w:qFormat/>
    <w:uiPriority w:val="99"/>
    <w:pPr>
      <w:ind w:firstLine="420" w:firstLineChars="200"/>
    </w:pPr>
  </w:style>
  <w:style w:type="character" w:customStyle="1" w:styleId="46">
    <w:name w:val="批注文字 字符"/>
    <w:basedOn w:val="22"/>
    <w:link w:val="7"/>
    <w:semiHidden/>
    <w:uiPriority w:val="99"/>
    <w:rPr>
      <w:kern w:val="2"/>
      <w:sz w:val="21"/>
      <w:szCs w:val="22"/>
    </w:rPr>
  </w:style>
  <w:style w:type="character" w:customStyle="1" w:styleId="47">
    <w:name w:val="批注主题 字符"/>
    <w:basedOn w:val="46"/>
    <w:link w:val="6"/>
    <w:semiHidden/>
    <w:uiPriority w:val="99"/>
    <w:rPr>
      <w:b/>
      <w:bCs/>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theme" Target="theme/theme1.xml"/><Relationship Id="rId6" Type="http://schemas.openxmlformats.org/officeDocument/2006/relationships/footer" Target="footer1.xml"/><Relationship Id="rId53" Type="http://schemas.microsoft.com/office/2011/relationships/people" Target="people.xml"/><Relationship Id="rId52" Type="http://schemas.openxmlformats.org/officeDocument/2006/relationships/fontTable" Target="fontTable.xml"/><Relationship Id="rId51" Type="http://schemas.openxmlformats.org/officeDocument/2006/relationships/customXml" Target="../customXml/item3.xml"/><Relationship Id="rId50" Type="http://schemas.openxmlformats.org/officeDocument/2006/relationships/customXml" Target="../customXml/item2.xml"/><Relationship Id="rId5" Type="http://schemas.openxmlformats.org/officeDocument/2006/relationships/header" Target="head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microsoft.com/office/2011/relationships/commentsExtended" Target="commentsExtended.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comments" Target="comment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verPageProperties xmlns="http://schemas.microsoft.com/office/2006/coverPageProps">
  <PublishDate>2017-08-22T00:00:00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E1B653-7326-478C-B193-BCF6D3239CA1}">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32</Pages>
  <Words>1301</Words>
  <Characters>7421</Characters>
  <Lines>61</Lines>
  <Paragraphs>17</Paragraphs>
  <TotalTime>0</TotalTime>
  <ScaleCrop>false</ScaleCrop>
  <LinksUpToDate>false</LinksUpToDate>
  <CharactersWithSpaces>8705</CharactersWithSpaces>
  <Application>WPS Office_10.1.0.6930_F1E327BC-269C-435d-A152-05C5408002CA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2017-08-23T02:38:00Z</dcterms:created>
  <dc:creator>刘丰</dc:creator>
  <cp:lastModifiedBy>快乐逍遥</cp:lastModifiedBy>
  <dcterms:modified xsi:type="dcterms:W3CDTF">2017-11-09T03:59:19Z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