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5"/>
        <w:pBdr>
          <w:bottom w:val="none" w:color="auto" w:sz="0" w:space="0"/>
        </w:pBdr>
        <w:jc w:val="center"/>
        <w:rPr>
          <w:b/>
          <w:sz w:val="44"/>
          <w:szCs w:val="44"/>
        </w:rPr>
      </w:pPr>
      <w:bookmarkStart w:id="109" w:name="_GoBack"/>
      <w:bookmarkEnd w:id="109"/>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44"/>
          <w:szCs w:val="44"/>
        </w:rPr>
      </w:pPr>
    </w:p>
    <w:p>
      <w:pPr>
        <w:pStyle w:val="35"/>
        <w:pBdr>
          <w:bottom w:val="none" w:color="auto" w:sz="0" w:space="0"/>
        </w:pBdr>
        <w:jc w:val="center"/>
        <w:rPr>
          <w:b/>
          <w:sz w:val="52"/>
          <w:szCs w:val="52"/>
        </w:rPr>
      </w:pPr>
      <w:r>
        <w:rPr>
          <w:rFonts w:hint="eastAsia"/>
          <w:b/>
          <w:sz w:val="52"/>
          <w:szCs w:val="52"/>
        </w:rPr>
        <w:t>河源市公共资源交易中心</w:t>
      </w:r>
    </w:p>
    <w:p>
      <w:pPr>
        <w:pStyle w:val="35"/>
        <w:pBdr>
          <w:bottom w:val="none" w:color="auto" w:sz="0" w:space="0"/>
        </w:pBdr>
        <w:jc w:val="center"/>
        <w:rPr>
          <w:b/>
          <w:sz w:val="48"/>
          <w:szCs w:val="48"/>
        </w:rPr>
      </w:pPr>
    </w:p>
    <w:p>
      <w:pPr>
        <w:pStyle w:val="35"/>
        <w:pBdr>
          <w:bottom w:val="none" w:color="auto" w:sz="0" w:space="0"/>
        </w:pBdr>
        <w:jc w:val="center"/>
        <w:rPr>
          <w:b/>
          <w:sz w:val="44"/>
          <w:szCs w:val="44"/>
        </w:rPr>
      </w:pPr>
      <w:r>
        <w:rPr>
          <w:rFonts w:hint="eastAsia"/>
          <w:b/>
          <w:sz w:val="44"/>
          <w:szCs w:val="44"/>
        </w:rPr>
        <w:t>国土资源网上交易系统</w:t>
      </w:r>
    </w:p>
    <w:p>
      <w:pPr>
        <w:pStyle w:val="35"/>
        <w:pBdr>
          <w:bottom w:val="none" w:color="auto" w:sz="0" w:space="0"/>
        </w:pBdr>
        <w:jc w:val="center"/>
        <w:rPr>
          <w:b/>
          <w:sz w:val="48"/>
          <w:szCs w:val="48"/>
        </w:rPr>
      </w:pPr>
    </w:p>
    <w:p>
      <w:pPr>
        <w:pStyle w:val="35"/>
        <w:pBdr>
          <w:bottom w:val="none" w:color="auto" w:sz="0" w:space="0"/>
        </w:pBdr>
        <w:jc w:val="center"/>
        <w:rPr>
          <w:b/>
          <w:sz w:val="48"/>
          <w:szCs w:val="48"/>
        </w:rPr>
      </w:pPr>
    </w:p>
    <w:p>
      <w:pPr>
        <w:pStyle w:val="35"/>
        <w:pBdr>
          <w:bottom w:val="none" w:color="auto" w:sz="0" w:space="0"/>
        </w:pBdr>
        <w:jc w:val="center"/>
        <w:rPr>
          <w:sz w:val="30"/>
          <w:szCs w:val="30"/>
        </w:rPr>
      </w:pPr>
      <w:r>
        <w:rPr>
          <w:rFonts w:hint="eastAsia"/>
          <w:sz w:val="30"/>
          <w:szCs w:val="30"/>
        </w:rPr>
        <w:t>模块内容：</w:t>
      </w:r>
      <w:r>
        <w:rPr>
          <w:rFonts w:hint="eastAsia"/>
          <w:sz w:val="30"/>
          <w:szCs w:val="30"/>
          <w:u w:val="single"/>
        </w:rPr>
        <w:t>　土地交易　　</w:t>
      </w:r>
    </w:p>
    <w:p>
      <w:pPr>
        <w:pStyle w:val="35"/>
        <w:pBdr>
          <w:bottom w:val="none" w:color="auto" w:sz="0" w:space="0"/>
        </w:pBdr>
        <w:jc w:val="center"/>
        <w:rPr>
          <w:sz w:val="30"/>
          <w:szCs w:val="30"/>
          <w:u w:val="single"/>
        </w:rPr>
      </w:pPr>
      <w:r>
        <w:rPr>
          <w:rFonts w:hint="eastAsia"/>
          <w:sz w:val="30"/>
          <w:szCs w:val="30"/>
        </w:rPr>
        <w:t xml:space="preserve"> </w:t>
      </w:r>
      <w:r>
        <w:rPr>
          <w:sz w:val="30"/>
          <w:szCs w:val="30"/>
        </w:rPr>
        <w:t xml:space="preserve">                 </w:t>
      </w:r>
      <w:r>
        <w:rPr>
          <w:rFonts w:hint="eastAsia"/>
          <w:sz w:val="30"/>
          <w:szCs w:val="30"/>
        </w:rPr>
        <w:t>实施公司：</w:t>
      </w:r>
      <w:r>
        <w:rPr>
          <w:rFonts w:hint="eastAsia"/>
          <w:sz w:val="30"/>
          <w:szCs w:val="30"/>
          <w:u w:val="single"/>
        </w:rPr>
        <w:t>深圳市壹平台信息技术有限公司</w:t>
      </w:r>
    </w:p>
    <w:p>
      <w:pPr>
        <w:pStyle w:val="35"/>
        <w:pBdr>
          <w:bottom w:val="none" w:color="auto" w:sz="0" w:space="0"/>
        </w:pBdr>
        <w:jc w:val="center"/>
        <w:rPr>
          <w:sz w:val="30"/>
          <w:szCs w:val="30"/>
        </w:rPr>
      </w:pPr>
      <w:r>
        <w:rPr>
          <w:rFonts w:hint="eastAsia"/>
          <w:sz w:val="30"/>
          <w:szCs w:val="30"/>
        </w:rPr>
        <w:t>　编写时间：</w:t>
      </w:r>
      <w:r>
        <w:rPr>
          <w:rFonts w:hint="eastAsia"/>
          <w:sz w:val="30"/>
          <w:szCs w:val="30"/>
          <w:u w:val="single"/>
        </w:rPr>
        <w:t>　</w:t>
      </w:r>
      <w:r>
        <w:rPr>
          <w:sz w:val="30"/>
          <w:szCs w:val="30"/>
          <w:u w:val="single"/>
        </w:rPr>
        <w:t>2017/8/22</w:t>
      </w:r>
      <w:r>
        <w:rPr>
          <w:rFonts w:hint="eastAsia"/>
          <w:sz w:val="30"/>
          <w:szCs w:val="30"/>
          <w:u w:val="single"/>
        </w:rPr>
        <w:t>　</w:t>
      </w:r>
    </w:p>
    <w:p>
      <w:pPr>
        <w:pStyle w:val="35"/>
        <w:pBdr>
          <w:bottom w:val="none" w:color="auto" w:sz="0" w:space="0"/>
        </w:pBdr>
        <w:jc w:val="center"/>
        <w:rPr>
          <w:b/>
          <w:sz w:val="48"/>
          <w:szCs w:val="48"/>
        </w:rPr>
      </w:pPr>
    </w:p>
    <w:p>
      <w:pPr>
        <w:spacing w:line="360" w:lineRule="auto"/>
        <w:jc w:val="center"/>
        <w:rPr>
          <w:rFonts w:ascii="宋体" w:hAnsi="宋体" w:eastAsia="宋体"/>
          <w:b/>
          <w:sz w:val="32"/>
        </w:rPr>
      </w:pPr>
    </w:p>
    <w:p>
      <w:pPr>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 w:val="32"/>
        </w:rPr>
      </w:pPr>
    </w:p>
    <w:p>
      <w:pPr>
        <w:snapToGrid w:val="0"/>
        <w:spacing w:line="360" w:lineRule="auto"/>
        <w:jc w:val="center"/>
        <w:rPr>
          <w:rFonts w:ascii="宋体" w:hAnsi="宋体" w:eastAsia="宋体"/>
          <w:b/>
          <w:szCs w:val="21"/>
        </w:rPr>
      </w:pPr>
    </w:p>
    <w:p>
      <w:pPr>
        <w:snapToGrid w:val="0"/>
        <w:spacing w:line="360" w:lineRule="auto"/>
        <w:jc w:val="center"/>
        <w:rPr>
          <w:rFonts w:ascii="宋体" w:hAnsi="宋体" w:eastAsia="宋体"/>
          <w:b/>
          <w:szCs w:val="21"/>
        </w:rPr>
      </w:pPr>
      <w:r>
        <w:rPr>
          <w:rFonts w:ascii="宋体" w:hAnsi="宋体" w:eastAsia="宋体"/>
        </w:rPr>
        <w:drawing>
          <wp:inline distT="0" distB="0" distL="0" distR="0">
            <wp:extent cx="974725" cy="66421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974725" cy="664210"/>
                    </a:xfrm>
                    <a:prstGeom prst="rect">
                      <a:avLst/>
                    </a:prstGeom>
                    <a:noFill/>
                    <a:ln>
                      <a:noFill/>
                    </a:ln>
                  </pic:spPr>
                </pic:pic>
              </a:graphicData>
            </a:graphic>
          </wp:inline>
        </w:drawing>
      </w:r>
    </w:p>
    <w:p>
      <w:pPr>
        <w:pStyle w:val="11"/>
        <w:tabs>
          <w:tab w:val="left" w:pos="0"/>
          <w:tab w:val="left" w:pos="5400"/>
        </w:tabs>
        <w:snapToGrid w:val="0"/>
        <w:ind w:left="0"/>
        <w:jc w:val="center"/>
        <w:rPr>
          <w:rFonts w:ascii="宋体" w:hAnsi="宋体"/>
          <w:b w:val="0"/>
          <w:szCs w:val="28"/>
        </w:rPr>
      </w:pPr>
      <w:r>
        <w:rPr>
          <w:rFonts w:hint="eastAsia" w:ascii="宋体" w:hAnsi="宋体"/>
          <w:b w:val="0"/>
          <w:szCs w:val="28"/>
        </w:rPr>
        <w:t>深圳市壹平台信息技术有限公司</w:t>
      </w:r>
    </w:p>
    <w:p>
      <w:pPr>
        <w:pStyle w:val="15"/>
        <w:ind w:firstLine="3520" w:firstLineChars="1100"/>
        <w:rPr>
          <w:rFonts w:ascii="宋体" w:hAnsi="宋体"/>
          <w:sz w:val="32"/>
          <w:szCs w:val="32"/>
        </w:rPr>
      </w:pPr>
      <w:bookmarkStart w:id="0" w:name="_Toc415663514"/>
      <w:bookmarkStart w:id="1" w:name="_Toc384993281"/>
      <w:bookmarkStart w:id="2" w:name="_Toc415768566"/>
      <w:bookmarkStart w:id="3" w:name="_Toc415644668"/>
      <w:r>
        <w:rPr>
          <w:rFonts w:hint="eastAsia" w:ascii="宋体" w:hAnsi="宋体"/>
          <w:sz w:val="32"/>
          <w:szCs w:val="32"/>
        </w:rPr>
        <w:t>目 录</w:t>
      </w:r>
      <w:bookmarkEnd w:id="0"/>
      <w:bookmarkEnd w:id="1"/>
      <w:bookmarkEnd w:id="2"/>
      <w:bookmarkEnd w:id="3"/>
    </w:p>
    <w:p>
      <w:pPr>
        <w:pStyle w:val="15"/>
        <w:tabs>
          <w:tab w:val="right" w:leader="dot" w:pos="8306"/>
          <w:tab w:val="clear" w:pos="8296"/>
        </w:tabs>
      </w:pPr>
      <w:r>
        <w:rPr>
          <w:rFonts w:ascii="宋体" w:hAnsi="宋体"/>
          <w:b/>
          <w:bCs w:val="0"/>
          <w:caps w:val="0"/>
          <w:kern w:val="44"/>
          <w:sz w:val="32"/>
          <w:szCs w:val="32"/>
        </w:rPr>
        <w:fldChar w:fldCharType="begin"/>
      </w:r>
      <w:r>
        <w:rPr>
          <w:rFonts w:ascii="宋体" w:hAnsi="宋体"/>
          <w:b/>
          <w:bCs w:val="0"/>
          <w:caps w:val="0"/>
          <w:kern w:val="44"/>
          <w:sz w:val="32"/>
          <w:szCs w:val="32"/>
        </w:rPr>
        <w:instrText xml:space="preserve"> TOC \o "1-4" \h \z \u </w:instrText>
      </w:r>
      <w:r>
        <w:rPr>
          <w:rFonts w:ascii="宋体" w:hAnsi="宋体"/>
          <w:b/>
          <w:bCs w:val="0"/>
          <w:caps w:val="0"/>
          <w:kern w:val="44"/>
          <w:sz w:val="32"/>
          <w:szCs w:val="32"/>
        </w:rPr>
        <w:fldChar w:fldCharType="separate"/>
      </w:r>
      <w:r>
        <w:fldChar w:fldCharType="begin"/>
      </w:r>
      <w:r>
        <w:instrText xml:space="preserve"> HYPERLINK \l "_Toc21742" </w:instrText>
      </w:r>
      <w:r>
        <w:fldChar w:fldCharType="separate"/>
      </w:r>
      <w:r>
        <w:rPr>
          <w:rFonts w:hint="eastAsia"/>
        </w:rPr>
        <w:t>1、</w:t>
      </w:r>
      <w:r>
        <w:rPr>
          <w:rFonts w:hint="eastAsia" w:ascii="宋体" w:hAnsi="宋体"/>
          <w:szCs w:val="32"/>
        </w:rPr>
        <w:t>前言</w:t>
      </w:r>
      <w:r>
        <w:tab/>
      </w:r>
      <w:r>
        <w:fldChar w:fldCharType="begin"/>
      </w:r>
      <w:r>
        <w:instrText xml:space="preserve"> PAGEREF _Toc21742 </w:instrText>
      </w:r>
      <w:r>
        <w:fldChar w:fldCharType="separate"/>
      </w:r>
      <w:r>
        <w:t>4</w:t>
      </w:r>
      <w:r>
        <w:fldChar w:fldCharType="end"/>
      </w:r>
      <w:r>
        <w:fldChar w:fldCharType="end"/>
      </w:r>
    </w:p>
    <w:p>
      <w:pPr>
        <w:pStyle w:val="18"/>
        <w:tabs>
          <w:tab w:val="right" w:leader="dot" w:pos="8306"/>
        </w:tabs>
      </w:pPr>
      <w:r>
        <w:fldChar w:fldCharType="begin"/>
      </w:r>
      <w:r>
        <w:instrText xml:space="preserve"> HYPERLINK \l "_Toc7056" </w:instrText>
      </w:r>
      <w:r>
        <w:fldChar w:fldCharType="separate"/>
      </w:r>
      <w:r>
        <w:rPr>
          <w:rFonts w:hint="eastAsia"/>
        </w:rPr>
        <w:t>1.1　术语约定</w:t>
      </w:r>
      <w:r>
        <w:tab/>
      </w:r>
      <w:r>
        <w:fldChar w:fldCharType="begin"/>
      </w:r>
      <w:r>
        <w:instrText xml:space="preserve"> PAGEREF _Toc7056 </w:instrText>
      </w:r>
      <w:r>
        <w:fldChar w:fldCharType="separate"/>
      </w:r>
      <w:r>
        <w:t>4</w:t>
      </w:r>
      <w:r>
        <w:fldChar w:fldCharType="end"/>
      </w:r>
      <w:r>
        <w:fldChar w:fldCharType="end"/>
      </w:r>
    </w:p>
    <w:p>
      <w:pPr>
        <w:pStyle w:val="18"/>
        <w:tabs>
          <w:tab w:val="right" w:leader="dot" w:pos="8306"/>
        </w:tabs>
      </w:pPr>
      <w:r>
        <w:fldChar w:fldCharType="begin"/>
      </w:r>
      <w:r>
        <w:instrText xml:space="preserve"> HYPERLINK \l "_Toc17157" </w:instrText>
      </w:r>
      <w:r>
        <w:fldChar w:fldCharType="separate"/>
      </w:r>
      <w:r>
        <w:rPr>
          <w:rFonts w:hint="eastAsia"/>
          <w:szCs w:val="28"/>
        </w:rPr>
        <w:t>1.2　预期读者</w:t>
      </w:r>
      <w:r>
        <w:tab/>
      </w:r>
      <w:r>
        <w:fldChar w:fldCharType="begin"/>
      </w:r>
      <w:r>
        <w:instrText xml:space="preserve"> PAGEREF _Toc17157 </w:instrText>
      </w:r>
      <w:r>
        <w:fldChar w:fldCharType="separate"/>
      </w:r>
      <w:r>
        <w:t>5</w:t>
      </w:r>
      <w:r>
        <w:fldChar w:fldCharType="end"/>
      </w:r>
      <w:r>
        <w:fldChar w:fldCharType="end"/>
      </w:r>
    </w:p>
    <w:p>
      <w:pPr>
        <w:pStyle w:val="18"/>
        <w:tabs>
          <w:tab w:val="right" w:leader="dot" w:pos="8306"/>
        </w:tabs>
      </w:pPr>
      <w:r>
        <w:fldChar w:fldCharType="begin"/>
      </w:r>
      <w:r>
        <w:instrText xml:space="preserve"> HYPERLINK \l "_Toc11718" </w:instrText>
      </w:r>
      <w:r>
        <w:fldChar w:fldCharType="separate"/>
      </w:r>
      <w:r>
        <w:rPr>
          <w:rFonts w:hint="eastAsia"/>
          <w:szCs w:val="28"/>
        </w:rPr>
        <w:t>1.</w:t>
      </w:r>
      <w:r>
        <w:rPr>
          <w:rFonts w:hint="eastAsia"/>
        </w:rPr>
        <w:t>3</w:t>
      </w:r>
      <w:r>
        <w:rPr>
          <w:rFonts w:hint="eastAsia"/>
          <w:szCs w:val="28"/>
        </w:rPr>
        <w:t>　运行环境</w:t>
      </w:r>
      <w:r>
        <w:tab/>
      </w:r>
      <w:r>
        <w:fldChar w:fldCharType="begin"/>
      </w:r>
      <w:r>
        <w:instrText xml:space="preserve"> PAGEREF _Toc11718 </w:instrText>
      </w:r>
      <w:r>
        <w:fldChar w:fldCharType="separate"/>
      </w:r>
      <w:r>
        <w:t>5</w:t>
      </w:r>
      <w:r>
        <w:fldChar w:fldCharType="end"/>
      </w:r>
      <w:r>
        <w:fldChar w:fldCharType="end"/>
      </w:r>
    </w:p>
    <w:p>
      <w:pPr>
        <w:pStyle w:val="18"/>
        <w:tabs>
          <w:tab w:val="right" w:leader="dot" w:pos="8306"/>
        </w:tabs>
      </w:pPr>
      <w:r>
        <w:fldChar w:fldCharType="begin"/>
      </w:r>
      <w:r>
        <w:instrText xml:space="preserve"> HYPERLINK \l "_Toc4247" </w:instrText>
      </w:r>
      <w:r>
        <w:fldChar w:fldCharType="separate"/>
      </w:r>
      <w:r>
        <w:rPr>
          <w:rFonts w:hint="eastAsia"/>
          <w:szCs w:val="28"/>
        </w:rPr>
        <w:t>1.</w:t>
      </w:r>
      <w:r>
        <w:rPr>
          <w:rFonts w:hint="eastAsia"/>
        </w:rPr>
        <w:t>4</w:t>
      </w:r>
      <w:r>
        <w:rPr>
          <w:rFonts w:hint="eastAsia"/>
          <w:szCs w:val="28"/>
        </w:rPr>
        <w:t>　文档使用说明</w:t>
      </w:r>
      <w:r>
        <w:tab/>
      </w:r>
      <w:r>
        <w:fldChar w:fldCharType="begin"/>
      </w:r>
      <w:r>
        <w:instrText xml:space="preserve"> PAGEREF _Toc4247 </w:instrText>
      </w:r>
      <w:r>
        <w:fldChar w:fldCharType="separate"/>
      </w:r>
      <w:r>
        <w:t>5</w:t>
      </w:r>
      <w:r>
        <w:fldChar w:fldCharType="end"/>
      </w:r>
      <w:r>
        <w:fldChar w:fldCharType="end"/>
      </w:r>
    </w:p>
    <w:p>
      <w:pPr>
        <w:pStyle w:val="15"/>
        <w:tabs>
          <w:tab w:val="right" w:leader="dot" w:pos="8306"/>
          <w:tab w:val="clear" w:pos="8296"/>
        </w:tabs>
      </w:pPr>
      <w:r>
        <w:fldChar w:fldCharType="begin"/>
      </w:r>
      <w:r>
        <w:instrText xml:space="preserve"> HYPERLINK \l "_Toc27547" </w:instrText>
      </w:r>
      <w:r>
        <w:fldChar w:fldCharType="separate"/>
      </w:r>
      <w:r>
        <w:rPr>
          <w:rFonts w:hint="eastAsia"/>
        </w:rPr>
        <w:t>2、</w:t>
      </w:r>
      <w:r>
        <w:rPr>
          <w:rFonts w:hint="eastAsia"/>
          <w:szCs w:val="32"/>
        </w:rPr>
        <w:t>录件人员操作指南</w:t>
      </w:r>
      <w:r>
        <w:tab/>
      </w:r>
      <w:r>
        <w:fldChar w:fldCharType="begin"/>
      </w:r>
      <w:r>
        <w:instrText xml:space="preserve"> PAGEREF _Toc27547 </w:instrText>
      </w:r>
      <w:r>
        <w:fldChar w:fldCharType="separate"/>
      </w:r>
      <w:r>
        <w:t>6</w:t>
      </w:r>
      <w:r>
        <w:fldChar w:fldCharType="end"/>
      </w:r>
      <w:r>
        <w:fldChar w:fldCharType="end"/>
      </w:r>
    </w:p>
    <w:p>
      <w:pPr>
        <w:pStyle w:val="18"/>
        <w:tabs>
          <w:tab w:val="right" w:leader="dot" w:pos="8306"/>
        </w:tabs>
      </w:pPr>
      <w:r>
        <w:fldChar w:fldCharType="begin"/>
      </w:r>
      <w:r>
        <w:instrText xml:space="preserve"> HYPERLINK \l "_Toc18973" </w:instrText>
      </w:r>
      <w:r>
        <w:fldChar w:fldCharType="separate"/>
      </w:r>
      <w:r>
        <w:rPr>
          <w:rFonts w:hint="eastAsia"/>
        </w:rPr>
        <w:t>2.1　</w:t>
      </w:r>
      <w:r>
        <w:rPr>
          <w:rFonts w:hint="eastAsia"/>
          <w:szCs w:val="28"/>
        </w:rPr>
        <w:t>系统访问</w:t>
      </w:r>
      <w:r>
        <w:tab/>
      </w:r>
      <w:r>
        <w:fldChar w:fldCharType="begin"/>
      </w:r>
      <w:r>
        <w:instrText xml:space="preserve"> PAGEREF _Toc18973 </w:instrText>
      </w:r>
      <w:r>
        <w:fldChar w:fldCharType="separate"/>
      </w:r>
      <w:r>
        <w:t>6</w:t>
      </w:r>
      <w:r>
        <w:fldChar w:fldCharType="end"/>
      </w:r>
      <w:r>
        <w:fldChar w:fldCharType="end"/>
      </w:r>
    </w:p>
    <w:p>
      <w:pPr>
        <w:pStyle w:val="18"/>
        <w:tabs>
          <w:tab w:val="right" w:leader="dot" w:pos="8306"/>
        </w:tabs>
      </w:pPr>
      <w:r>
        <w:fldChar w:fldCharType="begin"/>
      </w:r>
      <w:r>
        <w:instrText xml:space="preserve"> HYPERLINK \l "_Toc12825" </w:instrText>
      </w:r>
      <w:r>
        <w:fldChar w:fldCharType="separate"/>
      </w:r>
      <w:r>
        <w:rPr>
          <w:rFonts w:hint="eastAsia"/>
        </w:rPr>
        <w:t>2.2　</w:t>
      </w:r>
      <w:r>
        <w:rPr>
          <w:rFonts w:hint="eastAsia"/>
          <w:szCs w:val="28"/>
        </w:rPr>
        <w:t>用户登陆</w:t>
      </w:r>
      <w:r>
        <w:tab/>
      </w:r>
      <w:r>
        <w:fldChar w:fldCharType="begin"/>
      </w:r>
      <w:r>
        <w:instrText xml:space="preserve"> PAGEREF _Toc12825 </w:instrText>
      </w:r>
      <w:r>
        <w:fldChar w:fldCharType="separate"/>
      </w:r>
      <w:r>
        <w:t>6</w:t>
      </w:r>
      <w:r>
        <w:fldChar w:fldCharType="end"/>
      </w:r>
      <w:r>
        <w:fldChar w:fldCharType="end"/>
      </w:r>
    </w:p>
    <w:p>
      <w:pPr>
        <w:pStyle w:val="18"/>
        <w:tabs>
          <w:tab w:val="right" w:leader="dot" w:pos="8306"/>
        </w:tabs>
      </w:pPr>
      <w:r>
        <w:fldChar w:fldCharType="begin"/>
      </w:r>
      <w:r>
        <w:instrText xml:space="preserve"> HYPERLINK \l "_Toc14602" </w:instrText>
      </w:r>
      <w:r>
        <w:fldChar w:fldCharType="separate"/>
      </w:r>
      <w:r>
        <w:rPr>
          <w:rFonts w:hint="eastAsia"/>
        </w:rPr>
        <w:t>2.3　</w:t>
      </w:r>
      <w:r>
        <w:rPr>
          <w:rFonts w:hint="eastAsia"/>
          <w:szCs w:val="28"/>
        </w:rPr>
        <w:t>土地管理</w:t>
      </w:r>
      <w:r>
        <w:tab/>
      </w:r>
      <w:r>
        <w:fldChar w:fldCharType="begin"/>
      </w:r>
      <w:r>
        <w:instrText xml:space="preserve"> PAGEREF _Toc14602 </w:instrText>
      </w:r>
      <w:r>
        <w:fldChar w:fldCharType="separate"/>
      </w:r>
      <w:r>
        <w:t>7</w:t>
      </w:r>
      <w:r>
        <w:fldChar w:fldCharType="end"/>
      </w:r>
      <w:r>
        <w:fldChar w:fldCharType="end"/>
      </w:r>
    </w:p>
    <w:p>
      <w:pPr>
        <w:pStyle w:val="9"/>
        <w:tabs>
          <w:tab w:val="right" w:leader="dot" w:pos="8306"/>
        </w:tabs>
      </w:pPr>
      <w:r>
        <w:fldChar w:fldCharType="begin"/>
      </w:r>
      <w:r>
        <w:instrText xml:space="preserve"> HYPERLINK \l "_Toc19257" </w:instrText>
      </w:r>
      <w:r>
        <w:fldChar w:fldCharType="separate"/>
      </w:r>
      <w:r>
        <w:rPr>
          <w:rFonts w:hint="eastAsia"/>
        </w:rPr>
        <w:t>2.3.1　地块信息</w:t>
      </w:r>
      <w:r>
        <w:tab/>
      </w:r>
      <w:r>
        <w:fldChar w:fldCharType="begin"/>
      </w:r>
      <w:r>
        <w:instrText xml:space="preserve"> PAGEREF _Toc19257 </w:instrText>
      </w:r>
      <w:r>
        <w:fldChar w:fldCharType="separate"/>
      </w:r>
      <w:r>
        <w:t>7</w:t>
      </w:r>
      <w:r>
        <w:fldChar w:fldCharType="end"/>
      </w:r>
      <w:r>
        <w:fldChar w:fldCharType="end"/>
      </w:r>
    </w:p>
    <w:p>
      <w:pPr>
        <w:pStyle w:val="9"/>
        <w:tabs>
          <w:tab w:val="right" w:leader="dot" w:pos="8306"/>
        </w:tabs>
      </w:pPr>
      <w:r>
        <w:fldChar w:fldCharType="begin"/>
      </w:r>
      <w:r>
        <w:instrText xml:space="preserve"> HYPERLINK \l "_Toc13466" </w:instrText>
      </w:r>
      <w:r>
        <w:fldChar w:fldCharType="separate"/>
      </w:r>
      <w:r>
        <w:rPr>
          <w:rFonts w:hint="eastAsia"/>
        </w:rPr>
        <w:t>2.3.2　标的信息</w:t>
      </w:r>
      <w:r>
        <w:tab/>
      </w:r>
      <w:r>
        <w:fldChar w:fldCharType="begin"/>
      </w:r>
      <w:r>
        <w:instrText xml:space="preserve"> PAGEREF _Toc13466 </w:instrText>
      </w:r>
      <w:r>
        <w:fldChar w:fldCharType="separate"/>
      </w:r>
      <w:r>
        <w:t>9</w:t>
      </w:r>
      <w:r>
        <w:fldChar w:fldCharType="end"/>
      </w:r>
      <w:r>
        <w:fldChar w:fldCharType="end"/>
      </w:r>
    </w:p>
    <w:p>
      <w:pPr>
        <w:pStyle w:val="9"/>
        <w:tabs>
          <w:tab w:val="right" w:leader="dot" w:pos="8306"/>
        </w:tabs>
      </w:pPr>
      <w:r>
        <w:fldChar w:fldCharType="begin"/>
      </w:r>
      <w:r>
        <w:instrText xml:space="preserve"> HYPERLINK \l "_Toc6619" </w:instrText>
      </w:r>
      <w:r>
        <w:fldChar w:fldCharType="separate"/>
      </w:r>
      <w:r>
        <w:rPr>
          <w:rFonts w:hint="eastAsia"/>
        </w:rPr>
        <w:t>2.3.3　</w:t>
      </w:r>
      <w:r>
        <w:rPr>
          <w:rFonts w:hint="eastAsia"/>
          <w:szCs w:val="28"/>
        </w:rPr>
        <w:t>公告信息</w:t>
      </w:r>
      <w:r>
        <w:tab/>
      </w:r>
      <w:r>
        <w:fldChar w:fldCharType="begin"/>
      </w:r>
      <w:r>
        <w:instrText xml:space="preserve"> PAGEREF _Toc6619 </w:instrText>
      </w:r>
      <w:r>
        <w:fldChar w:fldCharType="separate"/>
      </w:r>
      <w:r>
        <w:t>11</w:t>
      </w:r>
      <w:r>
        <w:fldChar w:fldCharType="end"/>
      </w:r>
      <w:r>
        <w:fldChar w:fldCharType="end"/>
      </w:r>
    </w:p>
    <w:p>
      <w:pPr>
        <w:pStyle w:val="9"/>
        <w:tabs>
          <w:tab w:val="right" w:leader="dot" w:pos="8306"/>
        </w:tabs>
      </w:pPr>
      <w:r>
        <w:fldChar w:fldCharType="begin"/>
      </w:r>
      <w:r>
        <w:instrText xml:space="preserve"> HYPERLINK \l "_Toc16986" </w:instrText>
      </w:r>
      <w:r>
        <w:fldChar w:fldCharType="separate"/>
      </w:r>
      <w:r>
        <w:rPr>
          <w:rFonts w:hint="eastAsia"/>
        </w:rPr>
        <w:t>2.3.4　</w:t>
      </w:r>
      <w:r>
        <w:rPr>
          <w:rFonts w:hint="eastAsia"/>
          <w:szCs w:val="28"/>
        </w:rPr>
        <w:t>补充公告</w:t>
      </w:r>
      <w:r>
        <w:tab/>
      </w:r>
      <w:r>
        <w:fldChar w:fldCharType="begin"/>
      </w:r>
      <w:r>
        <w:instrText xml:space="preserve"> PAGEREF _Toc16986 </w:instrText>
      </w:r>
      <w:r>
        <w:fldChar w:fldCharType="separate"/>
      </w:r>
      <w:r>
        <w:t>14</w:t>
      </w:r>
      <w:r>
        <w:fldChar w:fldCharType="end"/>
      </w:r>
      <w:r>
        <w:fldChar w:fldCharType="end"/>
      </w:r>
    </w:p>
    <w:p>
      <w:pPr>
        <w:pStyle w:val="9"/>
        <w:tabs>
          <w:tab w:val="right" w:leader="dot" w:pos="8306"/>
        </w:tabs>
      </w:pPr>
      <w:r>
        <w:fldChar w:fldCharType="begin"/>
      </w:r>
      <w:r>
        <w:instrText xml:space="preserve"> HYPERLINK \l "_Toc19142" </w:instrText>
      </w:r>
      <w:r>
        <w:fldChar w:fldCharType="separate"/>
      </w:r>
      <w:r>
        <w:rPr>
          <w:rFonts w:hint="eastAsia"/>
        </w:rPr>
        <w:t>2.3.5　限价管理</w:t>
      </w:r>
      <w:r>
        <w:tab/>
      </w:r>
      <w:r>
        <w:fldChar w:fldCharType="begin"/>
      </w:r>
      <w:r>
        <w:instrText xml:space="preserve"> PAGEREF _Toc19142 </w:instrText>
      </w:r>
      <w:r>
        <w:fldChar w:fldCharType="separate"/>
      </w:r>
      <w:r>
        <w:t>15</w:t>
      </w:r>
      <w:r>
        <w:fldChar w:fldCharType="end"/>
      </w:r>
      <w:r>
        <w:fldChar w:fldCharType="end"/>
      </w:r>
    </w:p>
    <w:p>
      <w:pPr>
        <w:pStyle w:val="9"/>
        <w:tabs>
          <w:tab w:val="right" w:leader="dot" w:pos="8306"/>
        </w:tabs>
      </w:pPr>
      <w:r>
        <w:fldChar w:fldCharType="begin"/>
      </w:r>
      <w:r>
        <w:instrText xml:space="preserve"> HYPERLINK \l "_Toc19389" </w:instrText>
      </w:r>
      <w:r>
        <w:fldChar w:fldCharType="separate"/>
      </w:r>
      <w:r>
        <w:rPr>
          <w:rFonts w:hint="eastAsia"/>
        </w:rPr>
        <w:t>2.3.6　底价管理</w:t>
      </w:r>
      <w:r>
        <w:tab/>
      </w:r>
      <w:r>
        <w:fldChar w:fldCharType="begin"/>
      </w:r>
      <w:r>
        <w:instrText xml:space="preserve"> PAGEREF _Toc19389 </w:instrText>
      </w:r>
      <w:r>
        <w:fldChar w:fldCharType="separate"/>
      </w:r>
      <w:r>
        <w:t>16</w:t>
      </w:r>
      <w:r>
        <w:fldChar w:fldCharType="end"/>
      </w:r>
      <w:r>
        <w:fldChar w:fldCharType="end"/>
      </w:r>
    </w:p>
    <w:p>
      <w:pPr>
        <w:pStyle w:val="18"/>
        <w:tabs>
          <w:tab w:val="right" w:leader="dot" w:pos="8306"/>
        </w:tabs>
      </w:pPr>
      <w:r>
        <w:fldChar w:fldCharType="begin"/>
      </w:r>
      <w:r>
        <w:instrText xml:space="preserve"> HYPERLINK \l "_Toc23129" </w:instrText>
      </w:r>
      <w:r>
        <w:fldChar w:fldCharType="separate"/>
      </w:r>
      <w:r>
        <w:rPr>
          <w:rFonts w:hint="eastAsia"/>
        </w:rPr>
        <w:t>2.4　交易管理</w:t>
      </w:r>
      <w:r>
        <w:tab/>
      </w:r>
      <w:r>
        <w:fldChar w:fldCharType="begin"/>
      </w:r>
      <w:r>
        <w:instrText xml:space="preserve"> PAGEREF _Toc23129 </w:instrText>
      </w:r>
      <w:r>
        <w:fldChar w:fldCharType="separate"/>
      </w:r>
      <w:r>
        <w:t>17</w:t>
      </w:r>
      <w:r>
        <w:fldChar w:fldCharType="end"/>
      </w:r>
      <w:r>
        <w:fldChar w:fldCharType="end"/>
      </w:r>
    </w:p>
    <w:p>
      <w:pPr>
        <w:pStyle w:val="9"/>
        <w:tabs>
          <w:tab w:val="right" w:leader="dot" w:pos="8306"/>
        </w:tabs>
      </w:pPr>
      <w:r>
        <w:fldChar w:fldCharType="begin"/>
      </w:r>
      <w:r>
        <w:instrText xml:space="preserve"> HYPERLINK \l "_Toc6512" </w:instrText>
      </w:r>
      <w:r>
        <w:fldChar w:fldCharType="separate"/>
      </w:r>
      <w:r>
        <w:rPr>
          <w:rFonts w:hint="eastAsia"/>
        </w:rPr>
        <w:t>2.4.1　交易中止</w:t>
      </w:r>
      <w:r>
        <w:tab/>
      </w:r>
      <w:r>
        <w:fldChar w:fldCharType="begin"/>
      </w:r>
      <w:r>
        <w:instrText xml:space="preserve"> PAGEREF _Toc6512 </w:instrText>
      </w:r>
      <w:r>
        <w:fldChar w:fldCharType="separate"/>
      </w:r>
      <w:r>
        <w:t>17</w:t>
      </w:r>
      <w:r>
        <w:fldChar w:fldCharType="end"/>
      </w:r>
      <w:r>
        <w:fldChar w:fldCharType="end"/>
      </w:r>
    </w:p>
    <w:p>
      <w:pPr>
        <w:pStyle w:val="16"/>
        <w:tabs>
          <w:tab w:val="right" w:leader="dot" w:pos="8306"/>
        </w:tabs>
      </w:pPr>
      <w:r>
        <w:fldChar w:fldCharType="begin"/>
      </w:r>
      <w:r>
        <w:instrText xml:space="preserve"> HYPERLINK \l "_Toc32021" </w:instrText>
      </w:r>
      <w:r>
        <w:fldChar w:fldCharType="separate"/>
      </w:r>
      <w:r>
        <w:rPr>
          <w:rFonts w:hint="eastAsia"/>
        </w:rPr>
        <w:t>2.4.1.1　交易中止</w:t>
      </w:r>
      <w:r>
        <w:tab/>
      </w:r>
      <w:r>
        <w:fldChar w:fldCharType="begin"/>
      </w:r>
      <w:r>
        <w:instrText xml:space="preserve"> PAGEREF _Toc32021 </w:instrText>
      </w:r>
      <w:r>
        <w:fldChar w:fldCharType="separate"/>
      </w:r>
      <w:r>
        <w:t>17</w:t>
      </w:r>
      <w:r>
        <w:fldChar w:fldCharType="end"/>
      </w:r>
      <w:r>
        <w:fldChar w:fldCharType="end"/>
      </w:r>
    </w:p>
    <w:p>
      <w:pPr>
        <w:pStyle w:val="16"/>
        <w:tabs>
          <w:tab w:val="right" w:leader="dot" w:pos="8306"/>
        </w:tabs>
      </w:pPr>
      <w:r>
        <w:fldChar w:fldCharType="begin"/>
      </w:r>
      <w:r>
        <w:instrText xml:space="preserve"> HYPERLINK \l "_Toc2647" </w:instrText>
      </w:r>
      <w:r>
        <w:fldChar w:fldCharType="separate"/>
      </w:r>
      <w:r>
        <w:rPr>
          <w:rFonts w:hint="eastAsia"/>
        </w:rPr>
        <w:t>2.4.1.2　交易恢复</w:t>
      </w:r>
      <w:r>
        <w:tab/>
      </w:r>
      <w:r>
        <w:fldChar w:fldCharType="begin"/>
      </w:r>
      <w:r>
        <w:instrText xml:space="preserve"> PAGEREF _Toc2647 </w:instrText>
      </w:r>
      <w:r>
        <w:fldChar w:fldCharType="separate"/>
      </w:r>
      <w:r>
        <w:t>18</w:t>
      </w:r>
      <w:r>
        <w:fldChar w:fldCharType="end"/>
      </w:r>
      <w:r>
        <w:fldChar w:fldCharType="end"/>
      </w:r>
    </w:p>
    <w:p>
      <w:pPr>
        <w:pStyle w:val="16"/>
        <w:tabs>
          <w:tab w:val="right" w:leader="dot" w:pos="8306"/>
        </w:tabs>
      </w:pPr>
      <w:r>
        <w:fldChar w:fldCharType="begin"/>
      </w:r>
      <w:r>
        <w:instrText xml:space="preserve"> HYPERLINK \l "_Toc10540" </w:instrText>
      </w:r>
      <w:r>
        <w:fldChar w:fldCharType="separate"/>
      </w:r>
      <w:r>
        <w:rPr>
          <w:rFonts w:hint="eastAsia"/>
        </w:rPr>
        <w:t>2.4.1.3　交易终止</w:t>
      </w:r>
      <w:r>
        <w:tab/>
      </w:r>
      <w:r>
        <w:fldChar w:fldCharType="begin"/>
      </w:r>
      <w:r>
        <w:instrText xml:space="preserve"> PAGEREF _Toc10540 </w:instrText>
      </w:r>
      <w:r>
        <w:fldChar w:fldCharType="separate"/>
      </w:r>
      <w:r>
        <w:t>19</w:t>
      </w:r>
      <w:r>
        <w:fldChar w:fldCharType="end"/>
      </w:r>
      <w:r>
        <w:fldChar w:fldCharType="end"/>
      </w:r>
    </w:p>
    <w:p>
      <w:pPr>
        <w:pStyle w:val="9"/>
        <w:tabs>
          <w:tab w:val="right" w:leader="dot" w:pos="8306"/>
        </w:tabs>
      </w:pPr>
      <w:r>
        <w:fldChar w:fldCharType="begin"/>
      </w:r>
      <w:r>
        <w:instrText xml:space="preserve"> HYPERLINK \l "_Toc27472" </w:instrText>
      </w:r>
      <w:r>
        <w:fldChar w:fldCharType="separate"/>
      </w:r>
      <w:r>
        <w:rPr>
          <w:rFonts w:hint="eastAsia"/>
        </w:rPr>
        <w:t>2.4.2　交易信息修改</w:t>
      </w:r>
      <w:r>
        <w:tab/>
      </w:r>
      <w:r>
        <w:fldChar w:fldCharType="begin"/>
      </w:r>
      <w:r>
        <w:instrText xml:space="preserve"> PAGEREF _Toc27472 </w:instrText>
      </w:r>
      <w:r>
        <w:fldChar w:fldCharType="separate"/>
      </w:r>
      <w:r>
        <w:t>20</w:t>
      </w:r>
      <w:r>
        <w:fldChar w:fldCharType="end"/>
      </w:r>
      <w:r>
        <w:fldChar w:fldCharType="end"/>
      </w:r>
    </w:p>
    <w:p>
      <w:pPr>
        <w:pStyle w:val="9"/>
        <w:tabs>
          <w:tab w:val="right" w:leader="dot" w:pos="8306"/>
        </w:tabs>
      </w:pPr>
      <w:r>
        <w:fldChar w:fldCharType="begin"/>
      </w:r>
      <w:r>
        <w:instrText xml:space="preserve"> HYPERLINK \l "_Toc12715" </w:instrText>
      </w:r>
      <w:r>
        <w:fldChar w:fldCharType="separate"/>
      </w:r>
      <w:r>
        <w:rPr>
          <w:rFonts w:hint="eastAsia"/>
        </w:rPr>
        <w:t>2.4.3　交易监控</w:t>
      </w:r>
      <w:r>
        <w:tab/>
      </w:r>
      <w:r>
        <w:fldChar w:fldCharType="begin"/>
      </w:r>
      <w:r>
        <w:instrText xml:space="preserve"> PAGEREF _Toc12715 </w:instrText>
      </w:r>
      <w:r>
        <w:fldChar w:fldCharType="separate"/>
      </w:r>
      <w:r>
        <w:t>20</w:t>
      </w:r>
      <w:r>
        <w:fldChar w:fldCharType="end"/>
      </w:r>
      <w:r>
        <w:fldChar w:fldCharType="end"/>
      </w:r>
    </w:p>
    <w:p>
      <w:pPr>
        <w:pStyle w:val="18"/>
        <w:tabs>
          <w:tab w:val="right" w:leader="dot" w:pos="8306"/>
        </w:tabs>
      </w:pPr>
      <w:r>
        <w:fldChar w:fldCharType="begin"/>
      </w:r>
      <w:r>
        <w:instrText xml:space="preserve"> HYPERLINK \l "_Toc15921" </w:instrText>
      </w:r>
      <w:r>
        <w:fldChar w:fldCharType="separate"/>
      </w:r>
      <w:r>
        <w:rPr>
          <w:rFonts w:hint="eastAsia"/>
        </w:rPr>
        <w:t>2.5　统计</w:t>
      </w:r>
      <w:r>
        <w:tab/>
      </w:r>
      <w:r>
        <w:fldChar w:fldCharType="begin"/>
      </w:r>
      <w:r>
        <w:instrText xml:space="preserve"> PAGEREF _Toc15921 </w:instrText>
      </w:r>
      <w:r>
        <w:fldChar w:fldCharType="separate"/>
      </w:r>
      <w:r>
        <w:t>20</w:t>
      </w:r>
      <w:r>
        <w:fldChar w:fldCharType="end"/>
      </w:r>
      <w:r>
        <w:fldChar w:fldCharType="end"/>
      </w:r>
    </w:p>
    <w:p>
      <w:pPr>
        <w:pStyle w:val="9"/>
        <w:tabs>
          <w:tab w:val="right" w:leader="dot" w:pos="8306"/>
        </w:tabs>
      </w:pPr>
      <w:r>
        <w:fldChar w:fldCharType="begin"/>
      </w:r>
      <w:r>
        <w:instrText xml:space="preserve"> HYPERLINK \l "_Toc10253" </w:instrText>
      </w:r>
      <w:r>
        <w:fldChar w:fldCharType="separate"/>
      </w:r>
      <w:r>
        <w:rPr>
          <w:rFonts w:hint="eastAsia"/>
        </w:rPr>
        <w:t>2.5.1　交易统计</w:t>
      </w:r>
      <w:r>
        <w:tab/>
      </w:r>
      <w:r>
        <w:fldChar w:fldCharType="begin"/>
      </w:r>
      <w:r>
        <w:instrText xml:space="preserve"> PAGEREF _Toc10253 </w:instrText>
      </w:r>
      <w:r>
        <w:fldChar w:fldCharType="separate"/>
      </w:r>
      <w:r>
        <w:t>20</w:t>
      </w:r>
      <w:r>
        <w:fldChar w:fldCharType="end"/>
      </w:r>
      <w:r>
        <w:fldChar w:fldCharType="end"/>
      </w:r>
    </w:p>
    <w:p>
      <w:pPr>
        <w:pStyle w:val="9"/>
        <w:tabs>
          <w:tab w:val="right" w:leader="dot" w:pos="8306"/>
        </w:tabs>
      </w:pPr>
      <w:r>
        <w:fldChar w:fldCharType="begin"/>
      </w:r>
      <w:r>
        <w:instrText xml:space="preserve"> HYPERLINK \l "_Toc29087" </w:instrText>
      </w:r>
      <w:r>
        <w:fldChar w:fldCharType="separate"/>
      </w:r>
      <w:r>
        <w:rPr>
          <w:rFonts w:hint="eastAsia"/>
        </w:rPr>
        <w:t>2.5.2　即时统计</w:t>
      </w:r>
      <w:r>
        <w:tab/>
      </w:r>
      <w:r>
        <w:fldChar w:fldCharType="begin"/>
      </w:r>
      <w:r>
        <w:instrText xml:space="preserve"> PAGEREF _Toc29087 </w:instrText>
      </w:r>
      <w:r>
        <w:fldChar w:fldCharType="separate"/>
      </w:r>
      <w:r>
        <w:t>21</w:t>
      </w:r>
      <w:r>
        <w:fldChar w:fldCharType="end"/>
      </w:r>
      <w:r>
        <w:fldChar w:fldCharType="end"/>
      </w:r>
    </w:p>
    <w:p>
      <w:pPr>
        <w:pStyle w:val="9"/>
        <w:tabs>
          <w:tab w:val="right" w:leader="dot" w:pos="8306"/>
        </w:tabs>
      </w:pPr>
      <w:r>
        <w:fldChar w:fldCharType="begin"/>
      </w:r>
      <w:r>
        <w:instrText xml:space="preserve"> HYPERLINK \l "_Toc7979" </w:instrText>
      </w:r>
      <w:r>
        <w:fldChar w:fldCharType="separate"/>
      </w:r>
      <w:r>
        <w:rPr>
          <w:rFonts w:hint="eastAsia"/>
        </w:rPr>
        <w:t>2.5.3　标的统计查询</w:t>
      </w:r>
      <w:r>
        <w:tab/>
      </w:r>
      <w:r>
        <w:fldChar w:fldCharType="begin"/>
      </w:r>
      <w:r>
        <w:instrText xml:space="preserve"> PAGEREF _Toc7979 </w:instrText>
      </w:r>
      <w:r>
        <w:fldChar w:fldCharType="separate"/>
      </w:r>
      <w:r>
        <w:t>21</w:t>
      </w:r>
      <w:r>
        <w:fldChar w:fldCharType="end"/>
      </w:r>
      <w:r>
        <w:fldChar w:fldCharType="end"/>
      </w:r>
    </w:p>
    <w:p>
      <w:pPr>
        <w:pStyle w:val="18"/>
        <w:tabs>
          <w:tab w:val="right" w:leader="dot" w:pos="8306"/>
        </w:tabs>
      </w:pPr>
      <w:r>
        <w:fldChar w:fldCharType="begin"/>
      </w:r>
      <w:r>
        <w:instrText xml:space="preserve"> HYPERLINK \l "_Toc22700" </w:instrText>
      </w:r>
      <w:r>
        <w:fldChar w:fldCharType="separate"/>
      </w:r>
      <w:r>
        <w:rPr>
          <w:rFonts w:hint="eastAsia"/>
        </w:rPr>
        <w:t>2.6　竞买人管理</w:t>
      </w:r>
      <w:r>
        <w:tab/>
      </w:r>
      <w:r>
        <w:fldChar w:fldCharType="begin"/>
      </w:r>
      <w:r>
        <w:instrText xml:space="preserve"> PAGEREF _Toc22700 </w:instrText>
      </w:r>
      <w:r>
        <w:fldChar w:fldCharType="separate"/>
      </w:r>
      <w:r>
        <w:t>22</w:t>
      </w:r>
      <w:r>
        <w:fldChar w:fldCharType="end"/>
      </w:r>
      <w:r>
        <w:fldChar w:fldCharType="end"/>
      </w:r>
    </w:p>
    <w:p>
      <w:pPr>
        <w:pStyle w:val="9"/>
        <w:tabs>
          <w:tab w:val="right" w:leader="dot" w:pos="8306"/>
        </w:tabs>
      </w:pPr>
      <w:r>
        <w:fldChar w:fldCharType="begin"/>
      </w:r>
      <w:r>
        <w:instrText xml:space="preserve"> HYPERLINK \l "_Toc746" </w:instrText>
      </w:r>
      <w:r>
        <w:fldChar w:fldCharType="separate"/>
      </w:r>
      <w:r>
        <w:rPr>
          <w:rFonts w:hint="eastAsia"/>
        </w:rPr>
        <w:t>2.6.1　竞买人列表</w:t>
      </w:r>
      <w:r>
        <w:tab/>
      </w:r>
      <w:r>
        <w:fldChar w:fldCharType="begin"/>
      </w:r>
      <w:r>
        <w:instrText xml:space="preserve"> PAGEREF _Toc746 </w:instrText>
      </w:r>
      <w:r>
        <w:fldChar w:fldCharType="separate"/>
      </w:r>
      <w:r>
        <w:t>22</w:t>
      </w:r>
      <w:r>
        <w:fldChar w:fldCharType="end"/>
      </w:r>
      <w:r>
        <w:fldChar w:fldCharType="end"/>
      </w:r>
    </w:p>
    <w:p>
      <w:pPr>
        <w:pStyle w:val="9"/>
        <w:tabs>
          <w:tab w:val="right" w:leader="dot" w:pos="8306"/>
        </w:tabs>
      </w:pPr>
      <w:r>
        <w:fldChar w:fldCharType="begin"/>
      </w:r>
      <w:r>
        <w:instrText xml:space="preserve"> HYPERLINK \l "_Toc26722" </w:instrText>
      </w:r>
      <w:r>
        <w:fldChar w:fldCharType="separate"/>
      </w:r>
      <w:r>
        <w:rPr>
          <w:rFonts w:hint="eastAsia"/>
        </w:rPr>
        <w:t>2.6.2　黑名单</w:t>
      </w:r>
      <w:r>
        <w:tab/>
      </w:r>
      <w:r>
        <w:fldChar w:fldCharType="begin"/>
      </w:r>
      <w:r>
        <w:instrText xml:space="preserve"> PAGEREF _Toc26722 </w:instrText>
      </w:r>
      <w:r>
        <w:fldChar w:fldCharType="separate"/>
      </w:r>
      <w:r>
        <w:t>22</w:t>
      </w:r>
      <w:r>
        <w:fldChar w:fldCharType="end"/>
      </w:r>
      <w:r>
        <w:fldChar w:fldCharType="end"/>
      </w:r>
    </w:p>
    <w:p>
      <w:pPr>
        <w:pStyle w:val="18"/>
        <w:tabs>
          <w:tab w:val="right" w:leader="dot" w:pos="8306"/>
        </w:tabs>
      </w:pPr>
      <w:r>
        <w:fldChar w:fldCharType="begin"/>
      </w:r>
      <w:r>
        <w:instrText xml:space="preserve"> HYPERLINK \l "_Toc4626" </w:instrText>
      </w:r>
      <w:r>
        <w:fldChar w:fldCharType="separate"/>
      </w:r>
      <w:r>
        <w:rPr>
          <w:rFonts w:hint="eastAsia"/>
        </w:rPr>
        <w:t>2.7　保证金</w:t>
      </w:r>
      <w:r>
        <w:tab/>
      </w:r>
      <w:r>
        <w:fldChar w:fldCharType="begin"/>
      </w:r>
      <w:r>
        <w:instrText xml:space="preserve"> PAGEREF _Toc4626 </w:instrText>
      </w:r>
      <w:r>
        <w:fldChar w:fldCharType="separate"/>
      </w:r>
      <w:r>
        <w:t>23</w:t>
      </w:r>
      <w:r>
        <w:fldChar w:fldCharType="end"/>
      </w:r>
      <w:r>
        <w:fldChar w:fldCharType="end"/>
      </w:r>
    </w:p>
    <w:p>
      <w:pPr>
        <w:pStyle w:val="9"/>
        <w:tabs>
          <w:tab w:val="right" w:leader="dot" w:pos="8306"/>
        </w:tabs>
      </w:pPr>
      <w:r>
        <w:fldChar w:fldCharType="begin"/>
      </w:r>
      <w:r>
        <w:instrText xml:space="preserve"> HYPERLINK \l "_Toc12965" </w:instrText>
      </w:r>
      <w:r>
        <w:fldChar w:fldCharType="separate"/>
      </w:r>
      <w:r>
        <w:rPr>
          <w:rFonts w:hint="eastAsia"/>
        </w:rPr>
        <w:t>2.7.1　土地项目查询</w:t>
      </w:r>
      <w:r>
        <w:tab/>
      </w:r>
      <w:r>
        <w:fldChar w:fldCharType="begin"/>
      </w:r>
      <w:r>
        <w:instrText xml:space="preserve"> PAGEREF _Toc12965 </w:instrText>
      </w:r>
      <w:r>
        <w:fldChar w:fldCharType="separate"/>
      </w:r>
      <w:r>
        <w:t>23</w:t>
      </w:r>
      <w:r>
        <w:fldChar w:fldCharType="end"/>
      </w:r>
      <w:r>
        <w:fldChar w:fldCharType="end"/>
      </w:r>
    </w:p>
    <w:p>
      <w:pPr>
        <w:pStyle w:val="16"/>
        <w:tabs>
          <w:tab w:val="right" w:leader="dot" w:pos="8306"/>
        </w:tabs>
      </w:pPr>
      <w:r>
        <w:fldChar w:fldCharType="begin"/>
      </w:r>
      <w:r>
        <w:instrText xml:space="preserve"> HYPERLINK \l "_Toc13369" </w:instrText>
      </w:r>
      <w:r>
        <w:fldChar w:fldCharType="separate"/>
      </w:r>
      <w:r>
        <w:rPr>
          <w:rFonts w:hint="eastAsia"/>
        </w:rPr>
        <w:t>2.7.1.1保证金查看</w:t>
      </w:r>
      <w:r>
        <w:tab/>
      </w:r>
      <w:r>
        <w:fldChar w:fldCharType="begin"/>
      </w:r>
      <w:r>
        <w:instrText xml:space="preserve"> PAGEREF _Toc13369 </w:instrText>
      </w:r>
      <w:r>
        <w:fldChar w:fldCharType="separate"/>
      </w:r>
      <w:r>
        <w:t>24</w:t>
      </w:r>
      <w:r>
        <w:fldChar w:fldCharType="end"/>
      </w:r>
      <w:r>
        <w:fldChar w:fldCharType="end"/>
      </w:r>
    </w:p>
    <w:p>
      <w:pPr>
        <w:pStyle w:val="16"/>
        <w:tabs>
          <w:tab w:val="right" w:leader="dot" w:pos="8306"/>
        </w:tabs>
      </w:pPr>
      <w:r>
        <w:fldChar w:fldCharType="begin"/>
      </w:r>
      <w:r>
        <w:instrText xml:space="preserve"> HYPERLINK \l "_Toc4361" </w:instrText>
      </w:r>
      <w:r>
        <w:fldChar w:fldCharType="separate"/>
      </w:r>
      <w:r>
        <w:rPr>
          <w:rFonts w:hint="eastAsia"/>
        </w:rPr>
        <w:t>2.7.1.2保证金统计</w:t>
      </w:r>
      <w:r>
        <w:tab/>
      </w:r>
      <w:r>
        <w:fldChar w:fldCharType="begin"/>
      </w:r>
      <w:r>
        <w:instrText xml:space="preserve"> PAGEREF _Toc4361 </w:instrText>
      </w:r>
      <w:r>
        <w:fldChar w:fldCharType="separate"/>
      </w:r>
      <w:r>
        <w:t>24</w:t>
      </w:r>
      <w:r>
        <w:fldChar w:fldCharType="end"/>
      </w:r>
      <w:r>
        <w:fldChar w:fldCharType="end"/>
      </w:r>
    </w:p>
    <w:p>
      <w:pPr>
        <w:pStyle w:val="9"/>
        <w:tabs>
          <w:tab w:val="right" w:leader="dot" w:pos="8306"/>
        </w:tabs>
      </w:pPr>
      <w:r>
        <w:fldChar w:fldCharType="begin"/>
      </w:r>
      <w:r>
        <w:instrText xml:space="preserve"> HYPERLINK \l "_Toc29604" </w:instrText>
      </w:r>
      <w:r>
        <w:fldChar w:fldCharType="separate"/>
      </w:r>
      <w:r>
        <w:rPr>
          <w:rFonts w:hint="eastAsia"/>
        </w:rPr>
        <w:t>2.7.2　保证金退款申请</w:t>
      </w:r>
      <w:r>
        <w:tab/>
      </w:r>
      <w:r>
        <w:fldChar w:fldCharType="begin"/>
      </w:r>
      <w:r>
        <w:instrText xml:space="preserve"> PAGEREF _Toc29604 </w:instrText>
      </w:r>
      <w:r>
        <w:fldChar w:fldCharType="separate"/>
      </w:r>
      <w:r>
        <w:t>25</w:t>
      </w:r>
      <w:r>
        <w:fldChar w:fldCharType="end"/>
      </w:r>
      <w:r>
        <w:fldChar w:fldCharType="end"/>
      </w:r>
    </w:p>
    <w:p>
      <w:pPr>
        <w:pStyle w:val="15"/>
        <w:tabs>
          <w:tab w:val="right" w:leader="dot" w:pos="8306"/>
          <w:tab w:val="clear" w:pos="8296"/>
        </w:tabs>
      </w:pPr>
      <w:r>
        <w:fldChar w:fldCharType="begin"/>
      </w:r>
      <w:r>
        <w:instrText xml:space="preserve"> HYPERLINK \l "_Toc18331" </w:instrText>
      </w:r>
      <w:r>
        <w:fldChar w:fldCharType="separate"/>
      </w:r>
      <w:r>
        <w:rPr>
          <w:rFonts w:hint="eastAsia"/>
        </w:rPr>
        <w:t>3、审核人员操作指南</w:t>
      </w:r>
      <w:r>
        <w:tab/>
      </w:r>
      <w:r>
        <w:fldChar w:fldCharType="begin"/>
      </w:r>
      <w:r>
        <w:instrText xml:space="preserve"> PAGEREF _Toc18331 </w:instrText>
      </w:r>
      <w:r>
        <w:fldChar w:fldCharType="separate"/>
      </w:r>
      <w:r>
        <w:t>27</w:t>
      </w:r>
      <w:r>
        <w:fldChar w:fldCharType="end"/>
      </w:r>
      <w:r>
        <w:fldChar w:fldCharType="end"/>
      </w:r>
    </w:p>
    <w:p>
      <w:pPr>
        <w:pStyle w:val="18"/>
        <w:tabs>
          <w:tab w:val="right" w:leader="dot" w:pos="8306"/>
        </w:tabs>
      </w:pPr>
      <w:r>
        <w:fldChar w:fldCharType="begin"/>
      </w:r>
      <w:r>
        <w:instrText xml:space="preserve"> HYPERLINK \l "_Toc25484" </w:instrText>
      </w:r>
      <w:r>
        <w:fldChar w:fldCharType="separate"/>
      </w:r>
      <w:r>
        <w:rPr>
          <w:rFonts w:hint="eastAsia"/>
        </w:rPr>
        <w:t>3.1　</w:t>
      </w:r>
      <w:r>
        <w:rPr>
          <w:rFonts w:hint="eastAsia"/>
          <w:szCs w:val="28"/>
        </w:rPr>
        <w:t>系统访问</w:t>
      </w:r>
      <w:r>
        <w:tab/>
      </w:r>
      <w:r>
        <w:fldChar w:fldCharType="begin"/>
      </w:r>
      <w:r>
        <w:instrText xml:space="preserve"> PAGEREF _Toc25484 </w:instrText>
      </w:r>
      <w:r>
        <w:fldChar w:fldCharType="separate"/>
      </w:r>
      <w:r>
        <w:t>27</w:t>
      </w:r>
      <w:r>
        <w:fldChar w:fldCharType="end"/>
      </w:r>
      <w:r>
        <w:fldChar w:fldCharType="end"/>
      </w:r>
    </w:p>
    <w:p>
      <w:pPr>
        <w:pStyle w:val="18"/>
        <w:tabs>
          <w:tab w:val="right" w:leader="dot" w:pos="8306"/>
        </w:tabs>
      </w:pPr>
      <w:r>
        <w:fldChar w:fldCharType="begin"/>
      </w:r>
      <w:r>
        <w:instrText xml:space="preserve"> HYPERLINK \l "_Toc26284" </w:instrText>
      </w:r>
      <w:r>
        <w:fldChar w:fldCharType="separate"/>
      </w:r>
      <w:r>
        <w:rPr>
          <w:rFonts w:hint="eastAsia"/>
        </w:rPr>
        <w:t>3.2　</w:t>
      </w:r>
      <w:r>
        <w:rPr>
          <w:rFonts w:hint="eastAsia"/>
          <w:szCs w:val="28"/>
        </w:rPr>
        <w:t>用户登陆</w:t>
      </w:r>
      <w:r>
        <w:tab/>
      </w:r>
      <w:r>
        <w:fldChar w:fldCharType="begin"/>
      </w:r>
      <w:r>
        <w:instrText xml:space="preserve"> PAGEREF _Toc26284 </w:instrText>
      </w:r>
      <w:r>
        <w:fldChar w:fldCharType="separate"/>
      </w:r>
      <w:r>
        <w:t>27</w:t>
      </w:r>
      <w:r>
        <w:fldChar w:fldCharType="end"/>
      </w:r>
      <w:r>
        <w:fldChar w:fldCharType="end"/>
      </w:r>
    </w:p>
    <w:p>
      <w:pPr>
        <w:pStyle w:val="18"/>
        <w:tabs>
          <w:tab w:val="right" w:leader="dot" w:pos="8306"/>
        </w:tabs>
      </w:pPr>
      <w:r>
        <w:fldChar w:fldCharType="begin"/>
      </w:r>
      <w:r>
        <w:instrText xml:space="preserve"> HYPERLINK \l "_Toc15655" </w:instrText>
      </w:r>
      <w:r>
        <w:fldChar w:fldCharType="separate"/>
      </w:r>
      <w:r>
        <w:rPr>
          <w:rFonts w:hint="eastAsia"/>
        </w:rPr>
        <w:t>3.3　公告管理</w:t>
      </w:r>
      <w:r>
        <w:tab/>
      </w:r>
      <w:r>
        <w:fldChar w:fldCharType="begin"/>
      </w:r>
      <w:r>
        <w:instrText xml:space="preserve"> PAGEREF _Toc15655 </w:instrText>
      </w:r>
      <w:r>
        <w:fldChar w:fldCharType="separate"/>
      </w:r>
      <w:r>
        <w:t>29</w:t>
      </w:r>
      <w:r>
        <w:fldChar w:fldCharType="end"/>
      </w:r>
      <w:r>
        <w:fldChar w:fldCharType="end"/>
      </w:r>
    </w:p>
    <w:p>
      <w:pPr>
        <w:pStyle w:val="9"/>
        <w:tabs>
          <w:tab w:val="right" w:leader="dot" w:pos="8306"/>
        </w:tabs>
      </w:pPr>
      <w:r>
        <w:fldChar w:fldCharType="begin"/>
      </w:r>
      <w:r>
        <w:instrText xml:space="preserve"> HYPERLINK \l "_Toc11284" </w:instrText>
      </w:r>
      <w:r>
        <w:fldChar w:fldCharType="separate"/>
      </w:r>
      <w:r>
        <w:rPr>
          <w:rFonts w:hint="eastAsia"/>
        </w:rPr>
        <w:t>3.3.1　审核公告</w:t>
      </w:r>
      <w:r>
        <w:tab/>
      </w:r>
      <w:r>
        <w:fldChar w:fldCharType="begin"/>
      </w:r>
      <w:r>
        <w:instrText xml:space="preserve"> PAGEREF _Toc11284 </w:instrText>
      </w:r>
      <w:r>
        <w:fldChar w:fldCharType="separate"/>
      </w:r>
      <w:r>
        <w:t>29</w:t>
      </w:r>
      <w:r>
        <w:fldChar w:fldCharType="end"/>
      </w:r>
      <w:r>
        <w:fldChar w:fldCharType="end"/>
      </w:r>
    </w:p>
    <w:p>
      <w:pPr>
        <w:pStyle w:val="15"/>
        <w:tabs>
          <w:tab w:val="right" w:leader="dot" w:pos="8306"/>
          <w:tab w:val="clear" w:pos="8296"/>
        </w:tabs>
      </w:pPr>
      <w:r>
        <w:fldChar w:fldCharType="begin"/>
      </w:r>
      <w:r>
        <w:instrText xml:space="preserve"> HYPERLINK \l "_Toc4709" </w:instrText>
      </w:r>
      <w:r>
        <w:fldChar w:fldCharType="separate"/>
      </w:r>
      <w:r>
        <w:rPr>
          <w:rFonts w:hint="eastAsia"/>
        </w:rPr>
        <w:t>4、财务复核人员操作指南</w:t>
      </w:r>
      <w:r>
        <w:tab/>
      </w:r>
      <w:r>
        <w:fldChar w:fldCharType="begin"/>
      </w:r>
      <w:r>
        <w:instrText xml:space="preserve"> PAGEREF _Toc4709 </w:instrText>
      </w:r>
      <w:r>
        <w:fldChar w:fldCharType="separate"/>
      </w:r>
      <w:r>
        <w:t>30</w:t>
      </w:r>
      <w:r>
        <w:fldChar w:fldCharType="end"/>
      </w:r>
      <w:r>
        <w:fldChar w:fldCharType="end"/>
      </w:r>
    </w:p>
    <w:p>
      <w:pPr>
        <w:pStyle w:val="18"/>
        <w:tabs>
          <w:tab w:val="right" w:leader="dot" w:pos="8306"/>
        </w:tabs>
      </w:pPr>
      <w:r>
        <w:fldChar w:fldCharType="begin"/>
      </w:r>
      <w:r>
        <w:instrText xml:space="preserve"> HYPERLINK \l "_Toc26516" </w:instrText>
      </w:r>
      <w:r>
        <w:fldChar w:fldCharType="separate"/>
      </w:r>
      <w:r>
        <w:rPr>
          <w:rFonts w:hint="eastAsia"/>
        </w:rPr>
        <w:t>4.1　</w:t>
      </w:r>
      <w:r>
        <w:rPr>
          <w:rFonts w:hint="eastAsia"/>
          <w:szCs w:val="28"/>
        </w:rPr>
        <w:t>系统访问</w:t>
      </w:r>
      <w:r>
        <w:tab/>
      </w:r>
      <w:r>
        <w:fldChar w:fldCharType="begin"/>
      </w:r>
      <w:r>
        <w:instrText xml:space="preserve"> PAGEREF _Toc26516 </w:instrText>
      </w:r>
      <w:r>
        <w:fldChar w:fldCharType="separate"/>
      </w:r>
      <w:r>
        <w:t>30</w:t>
      </w:r>
      <w:r>
        <w:fldChar w:fldCharType="end"/>
      </w:r>
      <w:r>
        <w:fldChar w:fldCharType="end"/>
      </w:r>
    </w:p>
    <w:p>
      <w:pPr>
        <w:pStyle w:val="18"/>
        <w:tabs>
          <w:tab w:val="right" w:leader="dot" w:pos="8306"/>
        </w:tabs>
      </w:pPr>
      <w:r>
        <w:fldChar w:fldCharType="begin"/>
      </w:r>
      <w:r>
        <w:instrText xml:space="preserve"> HYPERLINK \l "_Toc11086" </w:instrText>
      </w:r>
      <w:r>
        <w:fldChar w:fldCharType="separate"/>
      </w:r>
      <w:r>
        <w:rPr>
          <w:rFonts w:hint="eastAsia"/>
        </w:rPr>
        <w:t>4.2　</w:t>
      </w:r>
      <w:r>
        <w:rPr>
          <w:rFonts w:hint="eastAsia"/>
          <w:szCs w:val="28"/>
        </w:rPr>
        <w:t>用户登陆</w:t>
      </w:r>
      <w:r>
        <w:tab/>
      </w:r>
      <w:r>
        <w:fldChar w:fldCharType="begin"/>
      </w:r>
      <w:r>
        <w:instrText xml:space="preserve"> PAGEREF _Toc11086 </w:instrText>
      </w:r>
      <w:r>
        <w:fldChar w:fldCharType="separate"/>
      </w:r>
      <w:r>
        <w:t>31</w:t>
      </w:r>
      <w:r>
        <w:fldChar w:fldCharType="end"/>
      </w:r>
      <w:r>
        <w:fldChar w:fldCharType="end"/>
      </w:r>
    </w:p>
    <w:p>
      <w:pPr>
        <w:pStyle w:val="18"/>
        <w:tabs>
          <w:tab w:val="right" w:leader="dot" w:pos="8306"/>
        </w:tabs>
      </w:pPr>
      <w:r>
        <w:fldChar w:fldCharType="begin"/>
      </w:r>
      <w:r>
        <w:instrText xml:space="preserve"> HYPERLINK \l "_Toc17212" </w:instrText>
      </w:r>
      <w:r>
        <w:fldChar w:fldCharType="separate"/>
      </w:r>
      <w:r>
        <w:rPr>
          <w:rFonts w:hint="eastAsia"/>
        </w:rPr>
        <w:t>4.3　财务管理</w:t>
      </w:r>
      <w:r>
        <w:tab/>
      </w:r>
      <w:r>
        <w:fldChar w:fldCharType="begin"/>
      </w:r>
      <w:r>
        <w:instrText xml:space="preserve"> PAGEREF _Toc17212 </w:instrText>
      </w:r>
      <w:r>
        <w:fldChar w:fldCharType="separate"/>
      </w:r>
      <w:r>
        <w:t>32</w:t>
      </w:r>
      <w:r>
        <w:fldChar w:fldCharType="end"/>
      </w:r>
      <w:r>
        <w:fldChar w:fldCharType="end"/>
      </w:r>
    </w:p>
    <w:p>
      <w:pPr>
        <w:pStyle w:val="9"/>
        <w:tabs>
          <w:tab w:val="right" w:leader="dot" w:pos="8306"/>
        </w:tabs>
      </w:pPr>
      <w:r>
        <w:fldChar w:fldCharType="begin"/>
      </w:r>
      <w:r>
        <w:instrText xml:space="preserve"> HYPERLINK \l "_Toc2892" </w:instrText>
      </w:r>
      <w:r>
        <w:fldChar w:fldCharType="separate"/>
      </w:r>
      <w:r>
        <w:rPr>
          <w:rFonts w:hint="eastAsia"/>
        </w:rPr>
        <w:t>4.3.1　批次退款复核列表</w:t>
      </w:r>
      <w:r>
        <w:tab/>
      </w:r>
      <w:r>
        <w:fldChar w:fldCharType="begin"/>
      </w:r>
      <w:r>
        <w:instrText xml:space="preserve"> PAGEREF _Toc2892 </w:instrText>
      </w:r>
      <w:r>
        <w:fldChar w:fldCharType="separate"/>
      </w:r>
      <w:r>
        <w:t>32</w:t>
      </w:r>
      <w:r>
        <w:fldChar w:fldCharType="end"/>
      </w:r>
      <w:r>
        <w:fldChar w:fldCharType="end"/>
      </w:r>
    </w:p>
    <w:p>
      <w:pPr>
        <w:pStyle w:val="15"/>
        <w:tabs>
          <w:tab w:val="right" w:leader="dot" w:pos="8306"/>
          <w:tab w:val="clear" w:pos="8296"/>
        </w:tabs>
      </w:pPr>
      <w:r>
        <w:fldChar w:fldCharType="begin"/>
      </w:r>
      <w:r>
        <w:instrText xml:space="preserve"> HYPERLINK \l "_Toc6141" </w:instrText>
      </w:r>
      <w:r>
        <w:fldChar w:fldCharType="separate"/>
      </w:r>
      <w:r>
        <w:rPr>
          <w:rFonts w:hint="eastAsia"/>
        </w:rPr>
        <w:t>5、财务审核人员操作指南</w:t>
      </w:r>
      <w:r>
        <w:tab/>
      </w:r>
      <w:r>
        <w:fldChar w:fldCharType="begin"/>
      </w:r>
      <w:r>
        <w:instrText xml:space="preserve"> PAGEREF _Toc6141 </w:instrText>
      </w:r>
      <w:r>
        <w:fldChar w:fldCharType="separate"/>
      </w:r>
      <w:r>
        <w:t>33</w:t>
      </w:r>
      <w:r>
        <w:fldChar w:fldCharType="end"/>
      </w:r>
      <w:r>
        <w:fldChar w:fldCharType="end"/>
      </w:r>
    </w:p>
    <w:p>
      <w:pPr>
        <w:pStyle w:val="18"/>
        <w:tabs>
          <w:tab w:val="right" w:leader="dot" w:pos="8306"/>
        </w:tabs>
      </w:pPr>
      <w:r>
        <w:fldChar w:fldCharType="begin"/>
      </w:r>
      <w:r>
        <w:instrText xml:space="preserve"> HYPERLINK \l "_Toc17912" </w:instrText>
      </w:r>
      <w:r>
        <w:fldChar w:fldCharType="separate"/>
      </w:r>
      <w:r>
        <w:rPr>
          <w:rFonts w:hint="eastAsia"/>
        </w:rPr>
        <w:t>5.1　</w:t>
      </w:r>
      <w:r>
        <w:rPr>
          <w:rFonts w:hint="eastAsia"/>
          <w:szCs w:val="28"/>
        </w:rPr>
        <w:t>系统访问</w:t>
      </w:r>
      <w:r>
        <w:tab/>
      </w:r>
      <w:r>
        <w:fldChar w:fldCharType="begin"/>
      </w:r>
      <w:r>
        <w:instrText xml:space="preserve"> PAGEREF _Toc17912 </w:instrText>
      </w:r>
      <w:r>
        <w:fldChar w:fldCharType="separate"/>
      </w:r>
      <w:r>
        <w:t>33</w:t>
      </w:r>
      <w:r>
        <w:fldChar w:fldCharType="end"/>
      </w:r>
      <w:r>
        <w:fldChar w:fldCharType="end"/>
      </w:r>
    </w:p>
    <w:p>
      <w:pPr>
        <w:pStyle w:val="18"/>
        <w:tabs>
          <w:tab w:val="right" w:leader="dot" w:pos="8306"/>
        </w:tabs>
      </w:pPr>
      <w:r>
        <w:fldChar w:fldCharType="begin"/>
      </w:r>
      <w:r>
        <w:instrText xml:space="preserve"> HYPERLINK \l "_Toc30672" </w:instrText>
      </w:r>
      <w:r>
        <w:fldChar w:fldCharType="separate"/>
      </w:r>
      <w:r>
        <w:rPr>
          <w:rFonts w:hint="eastAsia"/>
        </w:rPr>
        <w:t>5.2　</w:t>
      </w:r>
      <w:r>
        <w:rPr>
          <w:rFonts w:hint="eastAsia"/>
          <w:szCs w:val="28"/>
        </w:rPr>
        <w:t>用户登陆</w:t>
      </w:r>
      <w:r>
        <w:tab/>
      </w:r>
      <w:r>
        <w:fldChar w:fldCharType="begin"/>
      </w:r>
      <w:r>
        <w:instrText xml:space="preserve"> PAGEREF _Toc30672 </w:instrText>
      </w:r>
      <w:r>
        <w:fldChar w:fldCharType="separate"/>
      </w:r>
      <w:r>
        <w:t>34</w:t>
      </w:r>
      <w:r>
        <w:fldChar w:fldCharType="end"/>
      </w:r>
      <w:r>
        <w:fldChar w:fldCharType="end"/>
      </w:r>
    </w:p>
    <w:p>
      <w:pPr>
        <w:pStyle w:val="18"/>
        <w:tabs>
          <w:tab w:val="right" w:leader="dot" w:pos="8306"/>
        </w:tabs>
      </w:pPr>
      <w:r>
        <w:fldChar w:fldCharType="begin"/>
      </w:r>
      <w:r>
        <w:instrText xml:space="preserve"> HYPERLINK \l "_Toc18208" </w:instrText>
      </w:r>
      <w:r>
        <w:fldChar w:fldCharType="separate"/>
      </w:r>
      <w:r>
        <w:rPr>
          <w:rFonts w:hint="eastAsia"/>
        </w:rPr>
        <w:t>5.3　财务管理</w:t>
      </w:r>
      <w:r>
        <w:tab/>
      </w:r>
      <w:r>
        <w:fldChar w:fldCharType="begin"/>
      </w:r>
      <w:r>
        <w:instrText xml:space="preserve"> PAGEREF _Toc18208 </w:instrText>
      </w:r>
      <w:r>
        <w:fldChar w:fldCharType="separate"/>
      </w:r>
      <w:r>
        <w:t>35</w:t>
      </w:r>
      <w:r>
        <w:fldChar w:fldCharType="end"/>
      </w:r>
      <w:r>
        <w:fldChar w:fldCharType="end"/>
      </w:r>
    </w:p>
    <w:p>
      <w:pPr>
        <w:pStyle w:val="9"/>
        <w:tabs>
          <w:tab w:val="right" w:leader="dot" w:pos="8306"/>
        </w:tabs>
      </w:pPr>
      <w:r>
        <w:fldChar w:fldCharType="begin"/>
      </w:r>
      <w:r>
        <w:instrText xml:space="preserve"> HYPERLINK \l "_Toc8730" </w:instrText>
      </w:r>
      <w:r>
        <w:fldChar w:fldCharType="separate"/>
      </w:r>
      <w:r>
        <w:rPr>
          <w:rFonts w:hint="eastAsia"/>
        </w:rPr>
        <w:t>5.3.1　子转总及销户</w:t>
      </w:r>
      <w:r>
        <w:tab/>
      </w:r>
      <w:r>
        <w:fldChar w:fldCharType="begin"/>
      </w:r>
      <w:r>
        <w:instrText xml:space="preserve"> PAGEREF _Toc8730 </w:instrText>
      </w:r>
      <w:r>
        <w:fldChar w:fldCharType="separate"/>
      </w:r>
      <w:r>
        <w:t>35</w:t>
      </w:r>
      <w:r>
        <w:fldChar w:fldCharType="end"/>
      </w:r>
      <w:r>
        <w:fldChar w:fldCharType="end"/>
      </w:r>
    </w:p>
    <w:p>
      <w:pPr>
        <w:pStyle w:val="9"/>
        <w:tabs>
          <w:tab w:val="right" w:leader="dot" w:pos="8306"/>
        </w:tabs>
      </w:pPr>
      <w:r>
        <w:fldChar w:fldCharType="begin"/>
      </w:r>
      <w:r>
        <w:instrText xml:space="preserve"> HYPERLINK \l "_Toc4123" </w:instrText>
      </w:r>
      <w:r>
        <w:fldChar w:fldCharType="separate"/>
      </w:r>
      <w:r>
        <w:rPr>
          <w:rFonts w:hint="eastAsia"/>
        </w:rPr>
        <w:t>5.3.2　退款清单</w:t>
      </w:r>
      <w:r>
        <w:tab/>
      </w:r>
      <w:r>
        <w:fldChar w:fldCharType="begin"/>
      </w:r>
      <w:r>
        <w:instrText xml:space="preserve"> PAGEREF _Toc4123 </w:instrText>
      </w:r>
      <w:r>
        <w:fldChar w:fldCharType="separate"/>
      </w:r>
      <w:r>
        <w:t>36</w:t>
      </w:r>
      <w:r>
        <w:fldChar w:fldCharType="end"/>
      </w:r>
      <w:r>
        <w:fldChar w:fldCharType="end"/>
      </w:r>
    </w:p>
    <w:p>
      <w:pPr>
        <w:pStyle w:val="9"/>
        <w:tabs>
          <w:tab w:val="right" w:leader="dot" w:pos="8306"/>
        </w:tabs>
      </w:pPr>
      <w:r>
        <w:fldChar w:fldCharType="begin"/>
      </w:r>
      <w:r>
        <w:instrText xml:space="preserve"> HYPERLINK \l "_Toc31802" </w:instrText>
      </w:r>
      <w:r>
        <w:fldChar w:fldCharType="separate"/>
      </w:r>
      <w:r>
        <w:rPr>
          <w:rFonts w:hint="eastAsia"/>
        </w:rPr>
        <w:t>5.3.3　财务统计</w:t>
      </w:r>
      <w:r>
        <w:tab/>
      </w:r>
      <w:r>
        <w:fldChar w:fldCharType="begin"/>
      </w:r>
      <w:r>
        <w:instrText xml:space="preserve"> PAGEREF _Toc31802 </w:instrText>
      </w:r>
      <w:r>
        <w:fldChar w:fldCharType="separate"/>
      </w:r>
      <w:r>
        <w:t>37</w:t>
      </w:r>
      <w:r>
        <w:fldChar w:fldCharType="end"/>
      </w:r>
      <w:r>
        <w:fldChar w:fldCharType="end"/>
      </w:r>
    </w:p>
    <w:p>
      <w:pPr>
        <w:spacing w:line="360" w:lineRule="auto"/>
        <w:rPr>
          <w:rFonts w:ascii="宋体" w:hAnsi="宋体" w:eastAsia="宋体"/>
          <w:sz w:val="28"/>
          <w:szCs w:val="28"/>
        </w:rPr>
      </w:pPr>
      <w:r>
        <w:rPr>
          <w:rFonts w:ascii="宋体" w:hAnsi="宋体" w:eastAsia="宋体" w:cstheme="minorHAnsi"/>
          <w:bCs/>
          <w:caps/>
          <w:kern w:val="44"/>
          <w:szCs w:val="32"/>
        </w:rPr>
        <w:fldChar w:fldCharType="end"/>
      </w:r>
    </w:p>
    <w:p>
      <w:pPr>
        <w:pStyle w:val="26"/>
        <w:spacing w:line="360" w:lineRule="auto"/>
        <w:rPr>
          <w:rFonts w:ascii="宋体" w:hAnsi="宋体" w:eastAsia="宋体"/>
          <w:color w:val="auto"/>
          <w:sz w:val="28"/>
          <w:szCs w:val="28"/>
        </w:rPr>
      </w:pPr>
    </w:p>
    <w:p>
      <w:pPr>
        <w:widowControl/>
        <w:jc w:val="left"/>
        <w:rPr>
          <w:rFonts w:ascii="宋体" w:hAnsi="宋体" w:eastAsia="宋体" w:cs="Calibri"/>
          <w:kern w:val="0"/>
          <w:sz w:val="28"/>
          <w:szCs w:val="28"/>
        </w:rPr>
      </w:pPr>
      <w:r>
        <w:rPr>
          <w:rFonts w:ascii="宋体" w:hAnsi="宋体" w:eastAsia="宋体"/>
          <w:sz w:val="28"/>
          <w:szCs w:val="28"/>
        </w:rPr>
        <w:br w:type="page"/>
      </w:r>
    </w:p>
    <w:p>
      <w:pPr>
        <w:pStyle w:val="26"/>
        <w:spacing w:line="360" w:lineRule="auto"/>
        <w:rPr>
          <w:rFonts w:ascii="宋体" w:hAnsi="宋体" w:eastAsia="宋体"/>
          <w:color w:val="auto"/>
          <w:sz w:val="28"/>
          <w:szCs w:val="28"/>
        </w:rPr>
      </w:pPr>
    </w:p>
    <w:p>
      <w:pPr>
        <w:pStyle w:val="2"/>
        <w:spacing w:line="360" w:lineRule="auto"/>
        <w:rPr>
          <w:rFonts w:ascii="宋体" w:hAnsi="宋体" w:eastAsia="宋体"/>
          <w:sz w:val="32"/>
          <w:szCs w:val="32"/>
        </w:rPr>
      </w:pPr>
      <w:bookmarkStart w:id="4" w:name="_Toc21742"/>
      <w:bookmarkStart w:id="5" w:name="_Toc384993282"/>
      <w:r>
        <w:rPr>
          <w:rFonts w:hint="eastAsia"/>
        </w:rPr>
        <w:t>1、</w:t>
      </w:r>
      <w:r>
        <w:rPr>
          <w:rFonts w:hint="eastAsia" w:ascii="宋体" w:hAnsi="宋体" w:eastAsia="宋体"/>
          <w:sz w:val="32"/>
          <w:szCs w:val="32"/>
        </w:rPr>
        <w:t>前言</w:t>
      </w:r>
      <w:bookmarkEnd w:id="4"/>
      <w:bookmarkEnd w:id="5"/>
    </w:p>
    <w:p>
      <w:pPr>
        <w:pStyle w:val="3"/>
      </w:pPr>
      <w:bookmarkStart w:id="6" w:name="_Toc384993283"/>
      <w:bookmarkStart w:id="7" w:name="_Toc7056"/>
      <w:r>
        <w:rPr>
          <w:rFonts w:hint="eastAsia"/>
        </w:rPr>
        <w:t>1.1　术语约定</w:t>
      </w:r>
      <w:bookmarkEnd w:id="6"/>
      <w:bookmarkEnd w:id="7"/>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业务部门：</w:t>
      </w:r>
      <w:r>
        <w:rPr>
          <w:rFonts w:hint="eastAsia" w:ascii="宋体" w:hAnsi="宋体" w:eastAsia="宋体" w:cs="宋体"/>
          <w:color w:val="auto"/>
        </w:rPr>
        <w:t>河源市公共资源交易中心。</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标的物：</w:t>
      </w:r>
      <w:r>
        <w:rPr>
          <w:rFonts w:hint="eastAsia" w:ascii="宋体" w:hAnsi="宋体" w:eastAsia="宋体" w:cs="宋体"/>
          <w:color w:val="auto"/>
        </w:rPr>
        <w:t>土地储备交易中心负责对外交易的土地交易对象。</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拍卖：</w:t>
      </w:r>
      <w:r>
        <w:rPr>
          <w:rFonts w:hint="eastAsia" w:ascii="宋体" w:hAnsi="宋体" w:eastAsia="宋体" w:cs="宋体"/>
          <w:color w:val="auto"/>
        </w:rPr>
        <w:t>即通过发布拍卖公告，由竞买人在指定时间、地点进行公开竞价，由出价最高者获得土地使用权的行为。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挂牌：</w:t>
      </w:r>
      <w:r>
        <w:rPr>
          <w:rFonts w:hint="eastAsia" w:ascii="宋体" w:hAnsi="宋体" w:eastAsia="宋体" w:cs="宋体"/>
          <w:color w:val="auto"/>
        </w:rPr>
        <w:t>即在一定期限内将土地交易条件在土地交易机构进行公告，并接受交易申请的行为。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交易条件：</w:t>
      </w:r>
      <w:r>
        <w:rPr>
          <w:rFonts w:hint="eastAsia" w:ascii="宋体" w:hAnsi="宋体" w:eastAsia="宋体" w:cs="宋体"/>
          <w:color w:val="auto"/>
        </w:rPr>
        <w:t>标的物参与交易的交易时间、交易价格、报价阶梯、竞买资格等要求。</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网上交易：</w:t>
      </w:r>
      <w:r>
        <w:rPr>
          <w:rFonts w:hint="eastAsia" w:ascii="宋体" w:hAnsi="宋体" w:eastAsia="宋体" w:cs="宋体"/>
          <w:color w:val="auto"/>
        </w:rPr>
        <w:t>网上交易特指在互联网上进行的，覆盖自标的物公告后至交易结束的一系列交易行为。</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数字证书：</w:t>
      </w:r>
      <w:r>
        <w:rPr>
          <w:rFonts w:hint="eastAsia" w:ascii="宋体" w:hAnsi="宋体" w:eastAsia="宋体" w:cs="宋体"/>
          <w:color w:val="auto"/>
        </w:rPr>
        <w:t>此处特指交易中心采用的第三方</w:t>
      </w:r>
      <w:r>
        <w:rPr>
          <w:rFonts w:ascii="宋体" w:hAnsi="宋体" w:eastAsia="宋体" w:cs="宋体"/>
          <w:color w:val="auto"/>
        </w:rPr>
        <w:t>CA</w:t>
      </w:r>
      <w:r>
        <w:rPr>
          <w:rFonts w:hint="eastAsia" w:ascii="宋体" w:hAnsi="宋体" w:eastAsia="宋体" w:cs="宋体"/>
          <w:color w:val="auto"/>
        </w:rPr>
        <w:t>身份认证系统。</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随机子账号：</w:t>
      </w:r>
      <w:r>
        <w:rPr>
          <w:rFonts w:hint="eastAsia" w:ascii="宋体" w:hAnsi="宋体" w:eastAsia="宋体" w:cs="宋体"/>
          <w:color w:val="auto"/>
        </w:rPr>
        <w:t>由银行生成并返回到交易系统的一个账号，此账号是在交易中心主账号下随机生成的一个二级账号，一个子账号对应一宗标的。</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交易系统：</w:t>
      </w:r>
      <w:r>
        <w:rPr>
          <w:rFonts w:ascii="宋体" w:hAnsi="宋体" w:eastAsia="宋体" w:cs="宋体"/>
          <w:color w:val="auto"/>
        </w:rPr>
        <w:t>“</w:t>
      </w:r>
      <w:r>
        <w:rPr>
          <w:rFonts w:hint="eastAsia" w:ascii="宋体" w:hAnsi="宋体" w:eastAsia="宋体" w:cs="宋体"/>
          <w:color w:val="auto"/>
        </w:rPr>
        <w:t>河源市国土资源网上交易系统</w:t>
      </w:r>
      <w:r>
        <w:rPr>
          <w:rFonts w:ascii="宋体" w:hAnsi="宋体" w:eastAsia="宋体" w:cs="宋体"/>
          <w:color w:val="auto"/>
        </w:rPr>
        <w:t>”</w:t>
      </w:r>
      <w:r>
        <w:rPr>
          <w:rFonts w:hint="eastAsia" w:ascii="宋体" w:hAnsi="宋体" w:eastAsia="宋体" w:cs="宋体"/>
          <w:color w:val="auto"/>
        </w:rPr>
        <w:t>的简称。</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交易公告：</w:t>
      </w:r>
      <w:r>
        <w:rPr>
          <w:rFonts w:hint="eastAsia" w:ascii="宋体" w:hAnsi="宋体" w:eastAsia="宋体" w:cs="宋体"/>
          <w:color w:val="auto"/>
        </w:rPr>
        <w:t>土地使用权出让、转让的交易公告。</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竞买人：</w:t>
      </w:r>
      <w:r>
        <w:rPr>
          <w:rFonts w:hint="eastAsia" w:ascii="宋体" w:hAnsi="宋体" w:eastAsia="宋体" w:cs="宋体"/>
          <w:color w:val="auto"/>
        </w:rPr>
        <w:t>对挂拍交易有兴趣并参与竞买的社会公众。</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网上挂牌</w:t>
      </w:r>
      <w:r>
        <w:rPr>
          <w:rFonts w:ascii="宋体" w:hAnsi="宋体" w:eastAsia="宋体" w:cs="宋体"/>
          <w:b/>
          <w:color w:val="auto"/>
        </w:rPr>
        <w:t>/</w:t>
      </w:r>
      <w:r>
        <w:rPr>
          <w:rFonts w:hint="eastAsia" w:ascii="宋体" w:hAnsi="宋体" w:eastAsia="宋体" w:cs="宋体"/>
          <w:b/>
          <w:color w:val="auto"/>
        </w:rPr>
        <w:t>拍卖：</w:t>
      </w:r>
      <w:r>
        <w:rPr>
          <w:rFonts w:hint="eastAsia" w:ascii="宋体" w:hAnsi="宋体" w:eastAsia="宋体" w:cs="宋体"/>
          <w:color w:val="auto"/>
        </w:rPr>
        <w:t>以现代互联网为工具的网上交易土地使用权的业务模式。</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挂牌报价期：</w:t>
      </w:r>
      <w:r>
        <w:rPr>
          <w:rFonts w:hint="eastAsia" w:ascii="宋体" w:hAnsi="宋体" w:eastAsia="宋体"/>
        </w:rPr>
        <w:t>指在网上挂牌开始时间至挂牌截止时间内的各次报价，竞买人可在此时间内的任一时点进行报价。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限时竞价期：</w:t>
      </w:r>
      <w:r>
        <w:rPr>
          <w:rFonts w:hint="eastAsia" w:ascii="宋体" w:hAnsi="宋体" w:eastAsia="宋体"/>
        </w:rPr>
        <w:t>是指网上挂牌报价截止后，以5分钟为竞价时限报价，竞买人须在倒计时5分钟内进行报价。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错转款：</w:t>
      </w:r>
      <w:r>
        <w:rPr>
          <w:rFonts w:hint="eastAsia" w:ascii="宋体" w:hAnsi="宋体" w:eastAsia="宋体" w:cs="宋体"/>
          <w:color w:val="auto"/>
        </w:rPr>
        <w:t>超过保证金截止时间或者多缴的保证金。</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保证金：</w:t>
      </w:r>
      <w:r>
        <w:rPr>
          <w:rFonts w:hint="eastAsia" w:ascii="宋体" w:hAnsi="宋体" w:eastAsia="宋体" w:cs="宋体"/>
          <w:color w:val="auto"/>
        </w:rPr>
        <w:t>即每个标的指定金额的履约保证金，竞买申请提交后需要交纳足额的保证金后才能开通竞买资格进行后续的交易。否则将被视为无效的竞买申请。</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竞买资格条件：</w:t>
      </w:r>
      <w:r>
        <w:rPr>
          <w:rFonts w:hint="eastAsia" w:ascii="宋体" w:hAnsi="宋体" w:eastAsia="宋体" w:cs="宋体"/>
          <w:color w:val="auto"/>
        </w:rPr>
        <w:t>部分标的对竞买人设置竞买条件，只有竞买人符合该条件才能进行开通竞价资格。由交易单位的资格审查部门对提交竞买申请的竞买人进行资格审核。</w:t>
      </w:r>
    </w:p>
    <w:p>
      <w:pPr>
        <w:pStyle w:val="26"/>
        <w:spacing w:line="360" w:lineRule="auto"/>
        <w:ind w:firstLine="482" w:firstLineChars="200"/>
        <w:rPr>
          <w:rFonts w:ascii="宋体" w:hAnsi="宋体" w:eastAsia="宋体" w:cs="宋体"/>
          <w:color w:val="auto"/>
        </w:rPr>
      </w:pPr>
      <w:r>
        <w:rPr>
          <w:rFonts w:hint="eastAsia" w:ascii="宋体" w:hAnsi="宋体" w:eastAsia="宋体" w:cs="宋体"/>
          <w:b/>
          <w:color w:val="auto"/>
        </w:rPr>
        <w:t>当前最高报价：</w:t>
      </w:r>
      <w:r>
        <w:rPr>
          <w:rFonts w:hint="eastAsia" w:ascii="宋体" w:hAnsi="宋体" w:eastAsia="宋体" w:cs="宋体"/>
          <w:color w:val="auto"/>
        </w:rPr>
        <w:t>标的进行交易时当前时间最高报价。</w:t>
      </w:r>
    </w:p>
    <w:p>
      <w:pPr>
        <w:pStyle w:val="3"/>
        <w:rPr>
          <w:szCs w:val="28"/>
        </w:rPr>
      </w:pPr>
      <w:bookmarkStart w:id="8" w:name="_Toc384993284"/>
      <w:bookmarkStart w:id="9" w:name="_Toc17157"/>
      <w:r>
        <w:rPr>
          <w:rFonts w:hint="eastAsia"/>
          <w:szCs w:val="28"/>
        </w:rPr>
        <w:t>1.2　预期读者</w:t>
      </w:r>
      <w:bookmarkEnd w:id="8"/>
      <w:bookmarkEnd w:id="9"/>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公共资源交易中心土地交易工作人员及审核人员。</w:t>
      </w:r>
    </w:p>
    <w:p>
      <w:pPr>
        <w:pStyle w:val="3"/>
        <w:rPr>
          <w:szCs w:val="28"/>
        </w:rPr>
      </w:pPr>
      <w:bookmarkStart w:id="10" w:name="_Toc384993285"/>
      <w:bookmarkStart w:id="11" w:name="_Toc11718"/>
      <w:r>
        <w:rPr>
          <w:rFonts w:hint="eastAsia"/>
          <w:szCs w:val="28"/>
        </w:rPr>
        <w:t>1.</w:t>
      </w:r>
      <w:r>
        <w:rPr>
          <w:rFonts w:hint="eastAsia"/>
        </w:rPr>
        <w:t>3</w:t>
      </w:r>
      <w:r>
        <w:rPr>
          <w:rFonts w:hint="eastAsia"/>
          <w:szCs w:val="28"/>
        </w:rPr>
        <w:t>　运行环境</w:t>
      </w:r>
      <w:bookmarkEnd w:id="10"/>
      <w:bookmarkEnd w:id="11"/>
    </w:p>
    <w:p>
      <w:pPr>
        <w:spacing w:line="360" w:lineRule="auto"/>
        <w:ind w:left="420"/>
        <w:rPr>
          <w:rFonts w:ascii="宋体" w:hAnsi="宋体" w:eastAsia="宋体" w:cs="华文中宋"/>
          <w:sz w:val="24"/>
          <w:szCs w:val="24"/>
        </w:rPr>
      </w:pPr>
      <w:r>
        <w:rPr>
          <w:rFonts w:hint="eastAsia" w:ascii="宋体" w:hAnsi="宋体" w:eastAsia="宋体" w:cs="宋体"/>
          <w:sz w:val="24"/>
          <w:szCs w:val="24"/>
        </w:rPr>
        <w:t>建议使用</w:t>
      </w:r>
      <w:r>
        <w:rPr>
          <w:rFonts w:ascii="宋体" w:hAnsi="宋体" w:eastAsia="宋体" w:cs="华文中宋"/>
          <w:sz w:val="24"/>
          <w:szCs w:val="24"/>
        </w:rPr>
        <w:t xml:space="preserve">Microsoft Internet Explorer </w:t>
      </w:r>
      <w:r>
        <w:rPr>
          <w:rFonts w:hint="eastAsia" w:ascii="宋体" w:hAnsi="宋体" w:eastAsia="宋体" w:cs="华文中宋"/>
          <w:sz w:val="24"/>
          <w:szCs w:val="24"/>
        </w:rPr>
        <w:t>9(IE9)浏览器,或其以上版本。</w:t>
      </w:r>
    </w:p>
    <w:p>
      <w:pPr>
        <w:pStyle w:val="3"/>
        <w:rPr>
          <w:szCs w:val="28"/>
        </w:rPr>
      </w:pPr>
      <w:bookmarkStart w:id="12" w:name="_Toc384993286"/>
      <w:bookmarkStart w:id="13" w:name="_Toc4247"/>
      <w:r>
        <w:rPr>
          <w:rFonts w:hint="eastAsia"/>
          <w:szCs w:val="28"/>
        </w:rPr>
        <w:t>1.</w:t>
      </w:r>
      <w:r>
        <w:rPr>
          <w:rFonts w:hint="eastAsia"/>
        </w:rPr>
        <w:t>4</w:t>
      </w:r>
      <w:r>
        <w:rPr>
          <w:rFonts w:hint="eastAsia"/>
          <w:szCs w:val="28"/>
        </w:rPr>
        <w:t>　文档使用说明</w:t>
      </w:r>
      <w:bookmarkEnd w:id="12"/>
      <w:bookmarkEnd w:id="13"/>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交易系统操作说明章节根据网上交易系统用户使用特点，将所有的操作以操作角色为单位进行划分，每一个角色都只需要查看自己相关的操作说明就可以完成所有的相关操作。</w:t>
      </w:r>
    </w:p>
    <w:p>
      <w:pPr>
        <w:widowControl/>
        <w:jc w:val="left"/>
        <w:rPr>
          <w:rFonts w:ascii="宋体" w:hAnsi="宋体" w:eastAsia="宋体" w:cs="宋体"/>
          <w:kern w:val="0"/>
          <w:sz w:val="24"/>
          <w:szCs w:val="24"/>
        </w:rPr>
      </w:pPr>
      <w:r>
        <w:rPr>
          <w:rFonts w:ascii="宋体" w:hAnsi="宋体" w:eastAsia="宋体" w:cs="宋体"/>
        </w:rPr>
        <w:br w:type="page"/>
      </w:r>
    </w:p>
    <w:p>
      <w:pPr>
        <w:pStyle w:val="26"/>
        <w:spacing w:line="360" w:lineRule="auto"/>
        <w:ind w:firstLine="480" w:firstLineChars="200"/>
        <w:rPr>
          <w:rFonts w:ascii="宋体" w:hAnsi="宋体" w:eastAsia="宋体" w:cs="宋体"/>
          <w:color w:val="auto"/>
        </w:rPr>
      </w:pPr>
    </w:p>
    <w:p>
      <w:pPr>
        <w:pStyle w:val="2"/>
        <w:rPr>
          <w:szCs w:val="32"/>
        </w:rPr>
      </w:pPr>
      <w:bookmarkStart w:id="14" w:name="_Toc27547"/>
      <w:r>
        <w:rPr>
          <w:rFonts w:hint="eastAsia"/>
        </w:rPr>
        <w:t>2、</w:t>
      </w:r>
      <w:r>
        <w:rPr>
          <w:rFonts w:hint="eastAsia"/>
          <w:szCs w:val="32"/>
        </w:rPr>
        <w:t>录件人员操作指南</w:t>
      </w:r>
      <w:bookmarkEnd w:id="14"/>
    </w:p>
    <w:p>
      <w:pPr>
        <w:pStyle w:val="3"/>
        <w:rPr>
          <w:szCs w:val="28"/>
        </w:rPr>
      </w:pPr>
      <w:bookmarkStart w:id="15" w:name="_Toc18973"/>
      <w:bookmarkStart w:id="16" w:name="_Toc491424513"/>
      <w:r>
        <w:rPr>
          <w:rFonts w:hint="eastAsia"/>
        </w:rPr>
        <w:t>2.1　</w:t>
      </w:r>
      <w:r>
        <w:rPr>
          <w:rFonts w:hint="eastAsia"/>
          <w:szCs w:val="28"/>
        </w:rPr>
        <w:t>系统访问</w:t>
      </w:r>
      <w:bookmarkEnd w:id="15"/>
      <w:bookmarkEnd w:id="16"/>
    </w:p>
    <w:p>
      <w:pPr>
        <w:pStyle w:val="26"/>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rPr>
          <w:rFonts w:hint="eastAsia" w:ascii="宋体" w:hAnsi="宋体" w:eastAsia="宋体" w:cs="宋体"/>
          <w:color w:val="0000FF"/>
        </w:rPr>
        <w:t>http://www.hytudi.com</w:t>
      </w:r>
      <w:r>
        <w:rPr>
          <w:rFonts w:hint="eastAsia" w:ascii="宋体" w:hAnsi="宋体" w:eastAsia="宋体" w:cs="宋体"/>
          <w:color w:val="auto"/>
        </w:rPr>
        <w:t>自动跳转到首页</w:t>
      </w:r>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“河源市公共资源交易中心－国土资源网上交易系统”。如下图所示：</w:t>
      </w:r>
      <w:r>
        <w:drawing>
          <wp:inline distT="0" distB="0" distL="114300" distR="114300">
            <wp:extent cx="5271770" cy="2268855"/>
            <wp:effectExtent l="0" t="0" r="5080" b="1714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bookmarkStart w:id="17" w:name="OLE_LINK18"/>
      <w:bookmarkStart w:id="18" w:name="OLE_LINK19"/>
      <w:r>
        <w:rPr>
          <w:rFonts w:hint="eastAsia" w:ascii="宋体" w:hAnsi="宋体" w:eastAsia="宋体" w:cs="宋体"/>
          <w:color w:val="auto"/>
        </w:rPr>
        <w:t>图2.1-1 公共资源交易门户</w:t>
      </w:r>
    </w:p>
    <w:bookmarkEnd w:id="17"/>
    <w:bookmarkEnd w:id="18"/>
    <w:p>
      <w:pPr>
        <w:pStyle w:val="3"/>
        <w:rPr>
          <w:szCs w:val="28"/>
        </w:rPr>
      </w:pPr>
      <w:bookmarkStart w:id="19" w:name="_Toc491352765"/>
      <w:bookmarkStart w:id="20" w:name="_Toc12825"/>
      <w:bookmarkStart w:id="21" w:name="_Toc491424514"/>
      <w:bookmarkStart w:id="22" w:name="OLE_LINK23"/>
      <w:bookmarkStart w:id="23" w:name="OLE_LINK24"/>
      <w:r>
        <w:rPr>
          <w:rFonts w:hint="eastAsia"/>
        </w:rPr>
        <w:t>2.2　</w:t>
      </w:r>
      <w:r>
        <w:rPr>
          <w:rFonts w:hint="eastAsia"/>
          <w:szCs w:val="28"/>
        </w:rPr>
        <w:t>用户登陆</w:t>
      </w:r>
      <w:bookmarkEnd w:id="19"/>
      <w:bookmarkEnd w:id="20"/>
      <w:bookmarkEnd w:id="21"/>
    </w:p>
    <w:bookmarkEnd w:id="22"/>
    <w:bookmarkEnd w:id="23"/>
    <w:p>
      <w:pPr>
        <w:pStyle w:val="26"/>
        <w:numPr>
          <w:ilvl w:val="0"/>
          <w:numId w:val="1"/>
        </w:numPr>
        <w:spacing w:line="360" w:lineRule="auto"/>
        <w:ind w:firstLine="480" w:firstLineChars="200"/>
      </w:pPr>
      <w:bookmarkStart w:id="24" w:name="OLE_LINK22"/>
      <w:bookmarkStart w:id="25" w:name="OLE_LINK20"/>
      <w:bookmarkStart w:id="26" w:name="OLE_LINK21"/>
      <w:r>
        <w:rPr>
          <w:rFonts w:hint="eastAsia"/>
        </w:rPr>
        <w:t>在进行登陆之前，请确保CA已插入相应计算机的USB口，并已正确安装了CA驱动程序。</w:t>
      </w:r>
    </w:p>
    <w:p>
      <w:pPr>
        <w:pStyle w:val="26"/>
        <w:numPr>
          <w:ilvl w:val="0"/>
          <w:numId w:val="1"/>
        </w:numPr>
        <w:spacing w:line="360" w:lineRule="auto"/>
        <w:ind w:firstLine="480" w:firstLineChars="200"/>
      </w:pPr>
      <w:r>
        <w:rPr>
          <w:rFonts w:hint="eastAsia"/>
        </w:rPr>
        <w:t>在上图，</w:t>
      </w:r>
      <w:bookmarkEnd w:id="24"/>
      <w:bookmarkEnd w:id="25"/>
      <w:bookmarkEnd w:id="26"/>
      <w:r>
        <w:rPr>
          <w:rFonts w:hint="eastAsia"/>
        </w:rPr>
        <w:t>点击“管理员登陆”进入“用户登录”界面，选择“GDCA登录”（请使用</w:t>
      </w:r>
      <w:bookmarkStart w:id="27" w:name="OLE_LINK26"/>
      <w:bookmarkStart w:id="28" w:name="OLE_LINK27"/>
      <w:bookmarkStart w:id="29" w:name="OLE_LINK25"/>
      <w:r>
        <w:rPr>
          <w:rFonts w:hint="eastAsia"/>
        </w:rPr>
        <w:t>IE9浏览器</w:t>
      </w:r>
      <w:bookmarkEnd w:id="27"/>
      <w:bookmarkEnd w:id="28"/>
      <w:bookmarkEnd w:id="29"/>
      <w:r>
        <w:rPr>
          <w:rFonts w:hint="eastAsia"/>
        </w:rPr>
        <w:t>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图2.2-2 用户登录页面</w:t>
      </w:r>
    </w:p>
    <w:p>
      <w:pPr>
        <w:pStyle w:val="26"/>
        <w:spacing w:line="360" w:lineRule="auto"/>
        <w:ind w:firstLine="480" w:firstLineChars="200"/>
      </w:pPr>
      <w:bookmarkStart w:id="30" w:name="OLE_LINK32"/>
      <w:bookmarkStart w:id="31" w:name="OLE_LINK31"/>
      <w:r>
        <w:rPr>
          <w:rFonts w:hint="eastAsia"/>
        </w:rPr>
        <w:t>3、在上图</w:t>
      </w:r>
      <w:bookmarkEnd w:id="30"/>
      <w:bookmarkEnd w:id="31"/>
      <w:r>
        <w:rPr>
          <w:rFonts w:hint="eastAsia"/>
        </w:rPr>
        <w:t>中“</w:t>
      </w:r>
      <w:r>
        <w:rPr>
          <w:rFonts w:hint="eastAsia" w:ascii="宋体" w:hAnsi="宋体" w:eastAsia="宋体" w:cs="宋体"/>
          <w:color w:val="auto"/>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94815"/>
            <wp:effectExtent l="19050" t="0" r="2540" b="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noChangeArrowheads="1"/>
                    </pic:cNvPicPr>
                  </pic:nvPicPr>
                  <pic:blipFill>
                    <a:blip r:embed="rId9"/>
                    <a:srcRect/>
                    <a:stretch>
                      <a:fillRect/>
                    </a:stretch>
                  </pic:blipFill>
                  <pic:spPr>
                    <a:xfrm>
                      <a:off x="0" y="0"/>
                      <a:ext cx="5274310" cy="1694891"/>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图2.2-3 交易平台（内部）</w:t>
      </w:r>
      <w:r>
        <w:rPr>
          <w:rFonts w:hint="eastAsia" w:ascii="宋体" w:hAnsi="宋体" w:eastAsia="宋体"/>
        </w:rPr>
        <w:t>界面</w:t>
      </w:r>
    </w:p>
    <w:p/>
    <w:p>
      <w:pPr>
        <w:pStyle w:val="3"/>
        <w:rPr>
          <w:szCs w:val="28"/>
        </w:rPr>
      </w:pPr>
      <w:bookmarkStart w:id="32" w:name="_Toc14602"/>
      <w:bookmarkStart w:id="33" w:name="_Toc384993288"/>
      <w:r>
        <w:rPr>
          <w:rFonts w:hint="eastAsia"/>
        </w:rPr>
        <w:t>2.3　</w:t>
      </w:r>
      <w:r>
        <w:rPr>
          <w:rFonts w:hint="eastAsia"/>
          <w:szCs w:val="28"/>
        </w:rPr>
        <w:t>土地管理</w:t>
      </w:r>
      <w:bookmarkEnd w:id="32"/>
    </w:p>
    <w:p>
      <w:pPr>
        <w:pStyle w:val="26"/>
        <w:spacing w:line="360" w:lineRule="auto"/>
        <w:ind w:firstLine="480" w:firstLineChars="200"/>
      </w:pPr>
      <w:r>
        <w:rPr>
          <w:rFonts w:hint="eastAsia"/>
        </w:rPr>
        <w:t>1、在上图中（交易平台（内部））界面里，点击“土地交易”按钮，进入“国有建设用地使用权网上交易系统”。如下图所示：</w:t>
      </w:r>
    </w:p>
    <w:p>
      <w:pPr>
        <w:rPr>
          <w:sz w:val="24"/>
          <w:szCs w:val="24"/>
        </w:rPr>
      </w:pPr>
      <w:r>
        <w:rPr>
          <w:sz w:val="24"/>
          <w:szCs w:val="24"/>
        </w:rPr>
        <w:drawing>
          <wp:inline distT="0" distB="0" distL="0" distR="0">
            <wp:extent cx="5274310" cy="3080385"/>
            <wp:effectExtent l="19050" t="0" r="254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
                    <pic:cNvPicPr>
                      <a:picLocks noChangeAspect="1" noChangeArrowheads="1"/>
                    </pic:cNvPicPr>
                  </pic:nvPicPr>
                  <pic:blipFill>
                    <a:blip r:embed="rId10"/>
                    <a:srcRect/>
                    <a:stretch>
                      <a:fillRect/>
                    </a:stretch>
                  </pic:blipFill>
                  <pic:spPr>
                    <a:xfrm>
                      <a:off x="0" y="0"/>
                      <a:ext cx="5274310" cy="308066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图2.3-1 </w:t>
      </w:r>
      <w:r>
        <w:rPr>
          <w:rFonts w:hint="eastAsia"/>
        </w:rPr>
        <w:t>国有建设用地使用权网上交易系统</w:t>
      </w:r>
    </w:p>
    <w:p/>
    <w:p>
      <w:pPr>
        <w:pStyle w:val="4"/>
      </w:pPr>
      <w:bookmarkStart w:id="34" w:name="_Toc19257"/>
      <w:r>
        <w:rPr>
          <w:rFonts w:hint="eastAsia"/>
        </w:rPr>
        <w:t>2.3.1　地块信息</w:t>
      </w:r>
      <w:bookmarkEnd w:id="33"/>
      <w:bookmarkEnd w:id="34"/>
    </w:p>
    <w:p>
      <w:pPr>
        <w:pStyle w:val="26"/>
        <w:spacing w:line="360" w:lineRule="auto"/>
        <w:ind w:firstLine="480" w:firstLineChars="200"/>
      </w:pPr>
      <w:r>
        <w:rPr>
          <w:rFonts w:hint="eastAsia"/>
        </w:rPr>
        <w:t>1、在菜单栏选择点击“土地管理”</w:t>
      </w:r>
      <w:r>
        <w:t>-</w:t>
      </w:r>
      <w:r>
        <w:rPr>
          <w:rFonts w:hint="eastAsia"/>
        </w:rPr>
        <w:t>“地块信息”界面。如下图所示：</w:t>
      </w:r>
    </w:p>
    <w:p>
      <w:pPr>
        <w:pStyle w:val="26"/>
        <w:spacing w:line="360" w:lineRule="auto"/>
        <w:rPr>
          <w:rFonts w:ascii="宋体" w:hAnsi="宋体" w:eastAsia="宋体" w:cs="宋体"/>
          <w:color w:val="auto"/>
          <w:sz w:val="28"/>
          <w:szCs w:val="28"/>
        </w:rPr>
      </w:pPr>
      <w:r>
        <w:drawing>
          <wp:inline distT="0" distB="0" distL="114300" distR="114300">
            <wp:extent cx="5381625" cy="1961515"/>
            <wp:effectExtent l="19050" t="0" r="0" b="0"/>
            <wp:docPr id="8" name="图片 4" descr="C:\Users\qxq\Desktop\图片\0.png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C:\Users\qxq\Desktop\图片\0.png0"/>
                    <pic:cNvPicPr>
                      <a:picLocks noChangeAspect="1"/>
                    </pic:cNvPicPr>
                  </pic:nvPicPr>
                  <pic:blipFill>
                    <a:blip r:embed="rId11"/>
                    <a:srcRect r="13167" b="43396"/>
                    <a:stretch>
                      <a:fillRect/>
                    </a:stretch>
                  </pic:blipFill>
                  <pic:spPr>
                    <a:xfrm>
                      <a:off x="0" y="0"/>
                      <a:ext cx="5383124" cy="1962150"/>
                    </a:xfrm>
                    <a:prstGeom prst="rect">
                      <a:avLst/>
                    </a:prstGeom>
                    <a:noFill/>
                    <a:ln w="9525">
                      <a:noFill/>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图2.3.1-1 地块信息界面</w:t>
      </w:r>
    </w:p>
    <w:p>
      <w:pPr>
        <w:pStyle w:val="26"/>
        <w:spacing w:line="360" w:lineRule="auto"/>
        <w:ind w:firstLine="480" w:firstLineChars="200"/>
      </w:pPr>
      <w:r>
        <w:rPr>
          <w:rFonts w:hint="eastAsia"/>
        </w:rPr>
        <w:t>2、在上图中“地块信息”界面，点击“新建”按钮，进入“交易物（土地）”编辑界面进行信息录入：</w:t>
      </w:r>
      <w:r>
        <w:t xml:space="preserve">* </w:t>
      </w:r>
      <w:r>
        <w:rPr>
          <w:rFonts w:hint="eastAsia"/>
        </w:rPr>
        <w:t>号标记为必填项，根据宗地实际业务信息输入后，点击“保存地块”。如下图所示：</w:t>
      </w:r>
    </w:p>
    <w:p>
      <w:pPr>
        <w:pStyle w:val="26"/>
        <w:spacing w:line="360" w:lineRule="auto"/>
        <w:jc w:val="center"/>
        <w:rPr>
          <w:rFonts w:ascii="宋体" w:hAnsi="宋体" w:eastAsia="宋体" w:cs="宋体"/>
          <w:color w:val="auto"/>
          <w:sz w:val="28"/>
          <w:szCs w:val="28"/>
        </w:rPr>
      </w:pPr>
      <w:r>
        <w:drawing>
          <wp:inline distT="0" distB="0" distL="114300" distR="114300">
            <wp:extent cx="5267325" cy="3562350"/>
            <wp:effectExtent l="19050" t="0" r="9525"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2"/>
                    <a:stretch>
                      <a:fillRect/>
                    </a:stretch>
                  </pic:blipFill>
                  <pic:spPr>
                    <a:xfrm>
                      <a:off x="0" y="0"/>
                      <a:ext cx="5266055" cy="3561491"/>
                    </a:xfrm>
                    <a:prstGeom prst="rect">
                      <a:avLst/>
                    </a:prstGeom>
                    <a:noFill/>
                    <a:ln w="9525">
                      <a:noFill/>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图2.3.1-2</w:t>
      </w:r>
      <w:r>
        <w:rPr>
          <w:rFonts w:hint="eastAsia"/>
        </w:rPr>
        <w:t>交易物（土地）</w:t>
      </w:r>
    </w:p>
    <w:p>
      <w:pPr>
        <w:pStyle w:val="26"/>
        <w:spacing w:line="360" w:lineRule="auto"/>
        <w:ind w:firstLine="480" w:firstLineChars="200"/>
        <w:rPr>
          <w:rFonts w:ascii="宋体" w:hAnsi="宋体" w:eastAsia="宋体" w:cs="宋体"/>
          <w:color w:val="auto"/>
          <w:sz w:val="28"/>
          <w:szCs w:val="28"/>
        </w:rPr>
      </w:pPr>
      <w:r>
        <w:rPr>
          <w:rFonts w:hint="eastAsia"/>
          <w:color w:val="auto"/>
        </w:rPr>
        <w:t>3、</w:t>
      </w:r>
      <w:r>
        <w:rPr>
          <w:rFonts w:hint="eastAsia"/>
        </w:rPr>
        <w:t>在上图中“交易物（土地）”</w:t>
      </w:r>
      <w:r>
        <w:rPr>
          <w:rFonts w:hint="eastAsia" w:ascii="宋体" w:hAnsi="宋体" w:eastAsia="宋体"/>
        </w:rPr>
        <w:t>界面</w:t>
      </w:r>
      <w:r>
        <w:rPr>
          <w:rFonts w:hint="eastAsia"/>
        </w:rPr>
        <w:t>，有</w:t>
      </w:r>
      <w:r>
        <w:rPr>
          <w:rFonts w:hint="eastAsia"/>
          <w:color w:val="auto"/>
        </w:rPr>
        <w:t>附件图片上传：根据需求，新增或者选择宗地图/位置图，点击上传按钮，选择需要上传的图片，点击确定按钮。如下图所示：</w:t>
      </w:r>
      <w:r>
        <w:rPr>
          <w:rFonts w:ascii="宋体" w:hAnsi="宋体" w:eastAsia="宋体"/>
          <w:sz w:val="28"/>
          <w:szCs w:val="28"/>
        </w:rPr>
        <w:drawing>
          <wp:inline distT="0" distB="0" distL="0" distR="0">
            <wp:extent cx="5273675" cy="2657475"/>
            <wp:effectExtent l="19050" t="0" r="2736"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3"/>
                    <a:stretch>
                      <a:fillRect/>
                    </a:stretch>
                  </pic:blipFill>
                  <pic:spPr>
                    <a:xfrm>
                      <a:off x="0" y="0"/>
                      <a:ext cx="5274310" cy="2657574"/>
                    </a:xfrm>
                    <a:prstGeom prst="rect">
                      <a:avLst/>
                    </a:prstGeom>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图2.3.1-3 附件管理</w:t>
      </w:r>
    </w:p>
    <w:p>
      <w:pPr>
        <w:pStyle w:val="4"/>
      </w:pPr>
      <w:bookmarkStart w:id="35" w:name="_Toc384993289"/>
      <w:bookmarkStart w:id="36" w:name="_Toc13466"/>
      <w:r>
        <w:rPr>
          <w:rFonts w:hint="eastAsia"/>
        </w:rPr>
        <w:t>2.3.2　标的信息</w:t>
      </w:r>
      <w:bookmarkEnd w:id="35"/>
      <w:bookmarkEnd w:id="36"/>
    </w:p>
    <w:p>
      <w:pPr>
        <w:pStyle w:val="37"/>
        <w:spacing w:line="360" w:lineRule="auto"/>
        <w:ind w:firstLine="480" w:firstLineChars="200"/>
      </w:pPr>
      <w:r>
        <w:rPr>
          <w:rFonts w:hint="eastAsia"/>
        </w:rPr>
        <w:t>1、</w:t>
      </w:r>
      <w:bookmarkStart w:id="37" w:name="OLE_LINK4"/>
      <w:bookmarkStart w:id="38" w:name="OLE_LINK5"/>
      <w:bookmarkStart w:id="39" w:name="OLE_LINK6"/>
      <w:r>
        <w:rPr>
          <w:rFonts w:hint="eastAsia"/>
        </w:rPr>
        <w:t>在菜单栏选择点击“土地管理”</w:t>
      </w:r>
      <w:r>
        <w:t>—</w:t>
      </w:r>
      <w:r>
        <w:rPr>
          <w:rFonts w:hint="eastAsia"/>
        </w:rPr>
        <w:t>“标的信息”。</w:t>
      </w:r>
      <w:bookmarkEnd w:id="37"/>
      <w:bookmarkEnd w:id="38"/>
      <w:bookmarkEnd w:id="39"/>
      <w:r>
        <w:rPr>
          <w:rFonts w:hint="eastAsia"/>
        </w:rPr>
        <w:t>如下图所示：</w:t>
      </w:r>
    </w:p>
    <w:p>
      <w:pPr>
        <w:spacing w:line="360" w:lineRule="auto"/>
        <w:jc w:val="center"/>
        <w:rPr>
          <w:rFonts w:ascii="宋体" w:hAnsi="宋体" w:eastAsia="宋体"/>
          <w:sz w:val="24"/>
          <w:szCs w:val="24"/>
        </w:rPr>
      </w:pPr>
      <w:r>
        <w:rPr>
          <w:rFonts w:hint="eastAsia" w:ascii="宋体" w:hAnsi="宋体" w:eastAsia="宋体"/>
          <w:sz w:val="24"/>
          <w:szCs w:val="24"/>
        </w:rPr>
        <w:drawing>
          <wp:inline distT="0" distB="0" distL="0" distR="0">
            <wp:extent cx="5308600" cy="2143125"/>
            <wp:effectExtent l="19050" t="0" r="5796" b="0"/>
            <wp:docPr id="13" name="图片 13" descr="C:\Users\qxq\Desktop\图片\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qxq\Desktop\图片\1.png1"/>
                    <pic:cNvPicPr>
                      <a:picLocks noChangeAspect="1" noChangeArrowheads="1"/>
                    </pic:cNvPicPr>
                  </pic:nvPicPr>
                  <pic:blipFill>
                    <a:blip r:embed="rId14"/>
                    <a:srcRect b="30946"/>
                    <a:stretch>
                      <a:fillRect/>
                    </a:stretch>
                  </pic:blipFill>
                  <pic:spPr>
                    <a:xfrm>
                      <a:off x="0" y="0"/>
                      <a:ext cx="5313680" cy="2144952"/>
                    </a:xfrm>
                    <a:prstGeom prst="rect">
                      <a:avLst/>
                    </a:prstGeom>
                    <a:noFill/>
                    <a:ln w="9525">
                      <a:noFill/>
                      <a:miter lim="800000"/>
                      <a:headEnd/>
                      <a:tailEnd/>
                    </a:ln>
                  </pic:spPr>
                </pic:pic>
              </a:graphicData>
            </a:graphic>
          </wp:inline>
        </w:drawing>
      </w:r>
      <w:r>
        <w:rPr>
          <w:rFonts w:hint="eastAsia" w:ascii="宋体" w:hAnsi="宋体" w:eastAsia="宋体"/>
          <w:sz w:val="24"/>
          <w:szCs w:val="24"/>
        </w:rPr>
        <w:t>图2.3.2-1 标的信息界面</w:t>
      </w:r>
    </w:p>
    <w:p>
      <w:pPr>
        <w:pStyle w:val="37"/>
        <w:spacing w:line="360" w:lineRule="auto"/>
        <w:ind w:firstLine="480" w:firstLineChars="200"/>
      </w:pPr>
      <w:r>
        <w:rPr>
          <w:rFonts w:hint="eastAsia"/>
        </w:rPr>
        <w:t>2、在上图中“标的信息”界面，点击上图“新建”按钮，进入“标的编辑”</w:t>
      </w:r>
      <w:bookmarkStart w:id="40" w:name="OLE_LINK8"/>
      <w:r>
        <w:rPr>
          <w:rFonts w:hint="eastAsia"/>
        </w:rPr>
        <w:t>进行信息录入</w:t>
      </w:r>
      <w:bookmarkEnd w:id="40"/>
      <w:r>
        <w:rPr>
          <w:rFonts w:hint="eastAsia"/>
        </w:rPr>
        <w:t>，</w:t>
      </w:r>
      <w:bookmarkStart w:id="41" w:name="OLE_LINK9"/>
      <w:bookmarkStart w:id="42" w:name="OLE_LINK10"/>
      <w:r>
        <w:t xml:space="preserve">* </w:t>
      </w:r>
      <w:r>
        <w:rPr>
          <w:rFonts w:hint="eastAsia"/>
        </w:rPr>
        <w:t>号标记为必填项，</w:t>
      </w:r>
      <w:bookmarkEnd w:id="41"/>
      <w:r>
        <w:rPr>
          <w:rFonts w:hint="eastAsia"/>
        </w:rPr>
        <w:t>根据标的实际业务信息输入后，</w:t>
      </w:r>
      <w:bookmarkEnd w:id="42"/>
      <w:r>
        <w:rPr>
          <w:rFonts w:hint="eastAsia"/>
        </w:rPr>
        <w:t>点击保存。如下图所示：</w:t>
      </w:r>
    </w:p>
    <w:p>
      <w:pPr>
        <w:pStyle w:val="37"/>
        <w:spacing w:line="360" w:lineRule="auto"/>
        <w:ind w:firstLine="482" w:firstLineChars="200"/>
      </w:pPr>
      <w:r>
        <w:rPr>
          <w:rFonts w:hint="eastAsia"/>
          <w:b/>
        </w:rPr>
        <w:t>注意：</w:t>
      </w:r>
      <w:r>
        <w:rPr>
          <w:rFonts w:hint="eastAsia"/>
        </w:rPr>
        <w:t>交易时间信息必须填写完整，不然无法提交公告。</w:t>
      </w:r>
    </w:p>
    <w:p>
      <w:pPr>
        <w:pStyle w:val="37"/>
        <w:spacing w:line="360" w:lineRule="auto"/>
        <w:ind w:firstLine="480" w:firstLineChars="200"/>
      </w:pPr>
      <w:r>
        <w:rPr>
          <w:rFonts w:hint="eastAsia"/>
        </w:rPr>
        <w:t>按实际情况填写交易基本信息、价款信息、交易时间信息以及需要的附件信息，然后点击页面最下方的“保存标的”按钮。</w:t>
      </w:r>
    </w:p>
    <w:p>
      <w:pPr>
        <w:pStyle w:val="26"/>
        <w:spacing w:line="360" w:lineRule="auto"/>
        <w:jc w:val="center"/>
        <w:rPr>
          <w:rFonts w:ascii="宋体" w:hAnsi="宋体" w:eastAsia="宋体" w:cs="宋体"/>
          <w:color w:val="auto"/>
          <w:sz w:val="28"/>
          <w:szCs w:val="28"/>
        </w:rPr>
      </w:pPr>
      <w:r>
        <w:drawing>
          <wp:inline distT="0" distB="0" distL="114300" distR="114300">
            <wp:extent cx="5270500" cy="2748280"/>
            <wp:effectExtent l="0" t="0" r="6350" b="1397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5"/>
                    <a:stretch>
                      <a:fillRect/>
                    </a:stretch>
                  </pic:blipFill>
                  <pic:spPr>
                    <a:xfrm>
                      <a:off x="0" y="0"/>
                      <a:ext cx="5270500" cy="2748280"/>
                    </a:xfrm>
                    <a:prstGeom prst="rect">
                      <a:avLst/>
                    </a:prstGeom>
                    <a:noFill/>
                    <a:ln w="9525">
                      <a:noFill/>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图2.3.2-2 标的编辑界面</w:t>
      </w:r>
    </w:p>
    <w:p>
      <w:pPr>
        <w:pStyle w:val="37"/>
        <w:spacing w:line="360" w:lineRule="auto"/>
        <w:ind w:firstLine="480" w:firstLineChars="200"/>
      </w:pPr>
      <w:r>
        <w:rPr>
          <w:rFonts w:hint="eastAsia"/>
        </w:rPr>
        <w:t>3、 录完“标的信息”后还需要绑定“地块信息”，再点击“绑定地块”按钮。如下图所示：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69230" cy="2600325"/>
            <wp:effectExtent l="19050" t="0" r="748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6"/>
                    <a:srcRect/>
                    <a:stretch>
                      <a:fillRect/>
                    </a:stretch>
                  </pic:blipFill>
                  <pic:spPr>
                    <a:xfrm>
                      <a:off x="0" y="0"/>
                      <a:ext cx="5274310" cy="260276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图2.3.2-3 绑定地块</w:t>
      </w:r>
    </w:p>
    <w:p>
      <w:pPr>
        <w:pStyle w:val="37"/>
        <w:spacing w:line="360" w:lineRule="auto"/>
        <w:ind w:firstLine="480" w:firstLineChars="200"/>
      </w:pPr>
      <w:bookmarkStart w:id="43" w:name="OLE_LINK3"/>
      <w:bookmarkStart w:id="44" w:name="OLE_LINK2"/>
      <w:bookmarkStart w:id="45" w:name="OLE_LINK1"/>
      <w:r>
        <w:rPr>
          <w:rFonts w:hint="eastAsia"/>
        </w:rPr>
        <w:t>4、</w:t>
      </w:r>
      <w:bookmarkEnd w:id="43"/>
      <w:bookmarkEnd w:id="44"/>
      <w:bookmarkEnd w:id="45"/>
      <w:r>
        <w:rPr>
          <w:rFonts w:hint="eastAsia"/>
        </w:rPr>
        <w:t xml:space="preserve"> 在“交易物选择”界面选择宗地后点击“确定”按钮。如下图所示：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19700" cy="1743075"/>
            <wp:effectExtent l="19050" t="0" r="0" b="0"/>
            <wp:docPr id="15" name="图片 19" descr="C:\Users\qxq\Desktop\图片\3.p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descr="C:\Users\qxq\Desktop\图片\3.png3"/>
                    <pic:cNvPicPr>
                      <a:picLocks noChangeAspect="1" noChangeArrowheads="1"/>
                    </pic:cNvPicPr>
                  </pic:nvPicPr>
                  <pic:blipFill>
                    <a:blip r:embed="rId17"/>
                    <a:srcRect r="8436" b="33898"/>
                    <a:stretch>
                      <a:fillRect/>
                    </a:stretch>
                  </pic:blipFill>
                  <pic:spPr>
                    <a:xfrm>
                      <a:off x="0" y="0"/>
                      <a:ext cx="5219700" cy="174307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图2.3.2-4 交易物选择</w:t>
      </w:r>
    </w:p>
    <w:p>
      <w:pPr>
        <w:pStyle w:val="4"/>
        <w:rPr>
          <w:szCs w:val="28"/>
        </w:rPr>
      </w:pPr>
      <w:bookmarkStart w:id="46" w:name="_Toc6619"/>
      <w:bookmarkStart w:id="47" w:name="_Toc384993290"/>
      <w:r>
        <w:rPr>
          <w:rFonts w:hint="eastAsia"/>
        </w:rPr>
        <w:t>2.3.3　</w:t>
      </w:r>
      <w:r>
        <w:rPr>
          <w:rFonts w:hint="eastAsia"/>
          <w:szCs w:val="28"/>
        </w:rPr>
        <w:t>公告信息</w:t>
      </w:r>
      <w:bookmarkEnd w:id="46"/>
      <w:bookmarkEnd w:id="47"/>
    </w:p>
    <w:p>
      <w:pPr>
        <w:pStyle w:val="37"/>
        <w:spacing w:line="360" w:lineRule="auto"/>
        <w:ind w:firstLine="480" w:firstLineChars="200"/>
      </w:pPr>
      <w:r>
        <w:rPr>
          <w:rFonts w:hint="eastAsia"/>
        </w:rPr>
        <w:t>1、在菜单栏选择点击“土地管理”</w:t>
      </w:r>
      <w:r>
        <w:t>—</w:t>
      </w:r>
      <w:r>
        <w:rPr>
          <w:rFonts w:hint="eastAsia"/>
        </w:rPr>
        <w:t>“公告信息”进入下图界面。</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476240" cy="1628775"/>
            <wp:effectExtent l="19050" t="0" r="0" b="0"/>
            <wp:docPr id="23" name="图片 25" descr="C:\Users\qxq\Desktop\图片\5.pn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5" descr="C:\Users\qxq\Desktop\图片\5.png5"/>
                    <pic:cNvPicPr>
                      <a:picLocks noChangeAspect="1" noChangeArrowheads="1"/>
                    </pic:cNvPicPr>
                  </pic:nvPicPr>
                  <pic:blipFill>
                    <a:blip r:embed="rId18"/>
                    <a:srcRect b="37117"/>
                    <a:stretch>
                      <a:fillRect/>
                    </a:stretch>
                  </pic:blipFill>
                  <pic:spPr>
                    <a:xfrm>
                      <a:off x="0" y="0"/>
                      <a:ext cx="5476240" cy="1628775"/>
                    </a:xfrm>
                    <a:prstGeom prst="rect">
                      <a:avLst/>
                    </a:prstGeom>
                    <a:noFill/>
                    <a:ln w="9525">
                      <a:noFill/>
                      <a:miter lim="800000"/>
                      <a:headEnd/>
                      <a:tailEnd/>
                    </a:ln>
                  </pic:spPr>
                </pic:pic>
              </a:graphicData>
            </a:graphic>
          </wp:inline>
        </w:drawing>
      </w:r>
    </w:p>
    <w:p>
      <w:pPr>
        <w:spacing w:line="360" w:lineRule="auto"/>
        <w:jc w:val="center"/>
        <w:rPr>
          <w:rFonts w:ascii="宋体" w:hAnsi="宋体" w:eastAsia="宋体"/>
          <w:sz w:val="24"/>
          <w:szCs w:val="24"/>
        </w:rPr>
      </w:pPr>
      <w:r>
        <w:rPr>
          <w:rFonts w:hint="eastAsia" w:ascii="宋体" w:hAnsi="宋体" w:eastAsia="宋体"/>
          <w:sz w:val="24"/>
          <w:szCs w:val="24"/>
        </w:rPr>
        <w:t>图2.3.3-1 公告信息界面</w:t>
      </w:r>
    </w:p>
    <w:p>
      <w:pPr>
        <w:pStyle w:val="37"/>
        <w:spacing w:line="360" w:lineRule="auto"/>
        <w:ind w:firstLine="480" w:firstLineChars="200"/>
      </w:pPr>
      <w:r>
        <w:rPr>
          <w:rFonts w:hint="eastAsia"/>
        </w:rPr>
        <w:t>2、在上图中“公告信息”界面，点击“新增”按钮，进入“</w:t>
      </w:r>
      <w:bookmarkStart w:id="48" w:name="OLE_LINK11"/>
      <w:r>
        <w:rPr>
          <w:rFonts w:hint="eastAsia"/>
        </w:rPr>
        <w:t>交易公告编辑</w:t>
      </w:r>
      <w:bookmarkEnd w:id="48"/>
      <w:r>
        <w:rPr>
          <w:rFonts w:hint="eastAsia"/>
        </w:rPr>
        <w:t>”界面进行信息录入，</w:t>
      </w:r>
      <w:r>
        <w:t xml:space="preserve">* </w:t>
      </w:r>
      <w:r>
        <w:rPr>
          <w:rFonts w:hint="eastAsia"/>
        </w:rPr>
        <w:t>号标记为必填项，根据标的实际业务信息输入后，点击“保存”按钮。如下图所示：</w:t>
      </w:r>
    </w:p>
    <w:p>
      <w:pPr>
        <w:pStyle w:val="26"/>
        <w:spacing w:line="360" w:lineRule="auto"/>
        <w:jc w:val="center"/>
        <w:rPr>
          <w:rFonts w:ascii="宋体" w:hAnsi="宋体" w:eastAsia="宋体" w:cs="宋体"/>
          <w:color w:val="auto"/>
          <w:sz w:val="28"/>
          <w:szCs w:val="28"/>
        </w:rPr>
      </w:pPr>
      <w:r>
        <w:rPr>
          <w:rFonts w:ascii="宋体" w:hAnsi="宋体" w:eastAsia="宋体"/>
        </w:rPr>
        <w:drawing>
          <wp:inline distT="0" distB="0" distL="0" distR="0">
            <wp:extent cx="5362575" cy="1028065"/>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9"/>
                    <a:srcRect l="1601" r="16192" b="4425"/>
                    <a:stretch>
                      <a:fillRect/>
                    </a:stretch>
                  </pic:blipFill>
                  <pic:spPr>
                    <a:xfrm>
                      <a:off x="0" y="0"/>
                      <a:ext cx="5365390" cy="1028700"/>
                    </a:xfrm>
                    <a:prstGeom prst="rect">
                      <a:avLst/>
                    </a:prstGeom>
                  </pic:spPr>
                </pic:pic>
              </a:graphicData>
            </a:graphic>
          </wp:inline>
        </w:drawing>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362575" cy="263525"/>
            <wp:effectExtent l="19050" t="0" r="952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20"/>
                    <a:srcRect/>
                    <a:stretch>
                      <a:fillRect/>
                    </a:stretch>
                  </pic:blipFill>
                  <pic:spPr>
                    <a:xfrm>
                      <a:off x="0" y="0"/>
                      <a:ext cx="5362575" cy="26371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图2.3.3-2 </w:t>
      </w:r>
      <w:r>
        <w:rPr>
          <w:rFonts w:hint="eastAsia"/>
        </w:rPr>
        <w:t>交易公告编辑界面</w:t>
      </w:r>
    </w:p>
    <w:p>
      <w:pPr>
        <w:pStyle w:val="37"/>
        <w:spacing w:line="360" w:lineRule="auto"/>
        <w:ind w:firstLine="480" w:firstLineChars="200"/>
      </w:pPr>
      <w:r>
        <w:rPr>
          <w:rFonts w:hint="eastAsia"/>
        </w:rPr>
        <w:t>3、</w:t>
      </w:r>
      <w:bookmarkStart w:id="49" w:name="OLE_LINK13"/>
      <w:r>
        <w:rPr>
          <w:rFonts w:hint="eastAsia"/>
        </w:rPr>
        <w:t>在“标的信息”栏里面</w:t>
      </w:r>
      <w:bookmarkEnd w:id="49"/>
      <w:r>
        <w:rPr>
          <w:rFonts w:hint="eastAsia"/>
        </w:rPr>
        <w:t>点击“增加标的”建立公告信息关联。如下图所示：</w:t>
      </w:r>
    </w:p>
    <w:p>
      <w:pPr>
        <w:pStyle w:val="26"/>
        <w:spacing w:line="360" w:lineRule="auto"/>
        <w:jc w:val="center"/>
        <w:rPr>
          <w:rFonts w:ascii="宋体" w:hAnsi="宋体" w:eastAsia="宋体" w:cs="宋体"/>
          <w:color w:val="auto"/>
          <w:sz w:val="28"/>
          <w:szCs w:val="28"/>
        </w:rPr>
      </w:pPr>
      <w:r>
        <w:drawing>
          <wp:inline distT="0" distB="0" distL="114300" distR="114300">
            <wp:extent cx="5649595" cy="1362075"/>
            <wp:effectExtent l="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1"/>
                    <a:srcRect b="38858"/>
                    <a:stretch>
                      <a:fillRect/>
                    </a:stretch>
                  </pic:blipFill>
                  <pic:spPr>
                    <a:xfrm>
                      <a:off x="0" y="0"/>
                      <a:ext cx="5694101" cy="1372653"/>
                    </a:xfrm>
                    <a:prstGeom prst="rect">
                      <a:avLst/>
                    </a:prstGeom>
                    <a:noFill/>
                    <a:ln w="9525">
                      <a:noFill/>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图2.3.3-3 增加标的</w:t>
      </w:r>
    </w:p>
    <w:p>
      <w:pPr>
        <w:pStyle w:val="37"/>
        <w:spacing w:line="360" w:lineRule="auto"/>
        <w:ind w:firstLine="480" w:firstLineChars="200"/>
      </w:pPr>
      <w:r>
        <w:rPr>
          <w:rFonts w:hint="eastAsia"/>
        </w:rPr>
        <w:t>4、在“</w:t>
      </w:r>
      <w:bookmarkStart w:id="50" w:name="OLE_LINK12"/>
      <w:r>
        <w:rPr>
          <w:rFonts w:hint="eastAsia"/>
        </w:rPr>
        <w:t>绑定标的</w:t>
      </w:r>
      <w:bookmarkEnd w:id="50"/>
      <w:r>
        <w:rPr>
          <w:rFonts w:hint="eastAsia"/>
        </w:rPr>
        <w:t>”界面里面选择标的物,再点击“确定”按钮即可。如下图所示：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2057400"/>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a:srcRect/>
                    <a:stretch>
                      <a:fillRect/>
                    </a:stretch>
                  </pic:blipFill>
                  <pic:spPr>
                    <a:xfrm>
                      <a:off x="0" y="0"/>
                      <a:ext cx="5274310" cy="205740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图2.3.3-4 </w:t>
      </w:r>
      <w:r>
        <w:rPr>
          <w:rFonts w:hint="eastAsia"/>
        </w:rPr>
        <w:t>绑定标的界面</w:t>
      </w:r>
    </w:p>
    <w:p>
      <w:pPr>
        <w:pStyle w:val="37"/>
        <w:spacing w:line="360" w:lineRule="auto"/>
        <w:ind w:firstLine="480" w:firstLineChars="200"/>
      </w:pPr>
      <w:r>
        <w:rPr>
          <w:rFonts w:hint="eastAsia"/>
        </w:rPr>
        <w:t>5、在“银行信息”栏里面选择保证金交款银行，在“银行信息”栏中为默认已选择的银行，也可以点击按钮“增加银行”进行增加操作，点击按钮“删除银行”进行删除</w:t>
      </w:r>
      <w:bookmarkStart w:id="51" w:name="OLE_LINK14"/>
      <w:r>
        <w:rPr>
          <w:rFonts w:hint="eastAsia"/>
        </w:rPr>
        <w:t>操作</w:t>
      </w:r>
      <w:bookmarkEnd w:id="51"/>
      <w:r>
        <w:rPr>
          <w:rFonts w:hint="eastAsia"/>
        </w:rPr>
        <w:t>。如下图所示：</w:t>
      </w:r>
    </w:p>
    <w:p>
      <w:pPr>
        <w:pStyle w:val="37"/>
        <w:spacing w:line="360" w:lineRule="auto"/>
      </w:pPr>
      <w:r>
        <w:drawing>
          <wp:inline distT="0" distB="0" distL="0" distR="0">
            <wp:extent cx="5274310" cy="1790065"/>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a:srcRect/>
                    <a:stretch>
                      <a:fillRect/>
                    </a:stretch>
                  </pic:blipFill>
                  <pic:spPr>
                    <a:xfrm>
                      <a:off x="0" y="0"/>
                      <a:ext cx="5274310" cy="179062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bookmarkStart w:id="52" w:name="OLE_LINK16"/>
      <w:r>
        <w:rPr>
          <w:rFonts w:hint="eastAsia" w:ascii="宋体" w:hAnsi="宋体" w:eastAsia="宋体"/>
        </w:rPr>
        <w:t>图2.3.3-5 选择银行信息</w:t>
      </w:r>
    </w:p>
    <w:bookmarkEnd w:id="52"/>
    <w:p>
      <w:pPr>
        <w:pStyle w:val="37"/>
        <w:numPr>
          <w:ilvl w:val="0"/>
          <w:numId w:val="0"/>
        </w:numPr>
        <w:spacing w:line="360" w:lineRule="auto"/>
        <w:ind w:firstLine="480" w:firstLineChars="200"/>
      </w:pPr>
      <w:bookmarkStart w:id="53" w:name="OLE_LINK15"/>
      <w:r>
        <w:rPr>
          <w:rFonts w:hint="eastAsia"/>
        </w:rPr>
        <w:t>6、录完以上信息后点击上图“保存”按钮，保存已录入的信息。</w:t>
      </w:r>
    </w:p>
    <w:p>
      <w:pPr>
        <w:pStyle w:val="37"/>
        <w:spacing w:line="360" w:lineRule="auto"/>
      </w:pPr>
      <w:r>
        <w:drawing>
          <wp:inline distT="0" distB="0" distL="114300" distR="114300">
            <wp:extent cx="5269230" cy="1530985"/>
            <wp:effectExtent l="0" t="0" r="7620" b="1206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4"/>
                    <a:stretch>
                      <a:fillRect/>
                    </a:stretch>
                  </pic:blipFill>
                  <pic:spPr>
                    <a:xfrm>
                      <a:off x="0" y="0"/>
                      <a:ext cx="5269230" cy="1530985"/>
                    </a:xfrm>
                    <a:prstGeom prst="rect">
                      <a:avLst/>
                    </a:prstGeom>
                    <a:noFill/>
                    <a:ln w="9525">
                      <a:noFill/>
                    </a:ln>
                  </pic:spPr>
                </pic:pic>
              </a:graphicData>
            </a:graphic>
          </wp:inline>
        </w:drawing>
      </w:r>
    </w:p>
    <w:p>
      <w:pPr>
        <w:pStyle w:val="26"/>
        <w:spacing w:line="360" w:lineRule="auto"/>
        <w:jc w:val="center"/>
      </w:pPr>
      <w:r>
        <w:rPr>
          <w:rFonts w:hint="eastAsia" w:ascii="宋体" w:hAnsi="宋体" w:eastAsia="宋体"/>
        </w:rPr>
        <w:t>图2.3.3-6 交易公告编辑保存</w:t>
      </w:r>
    </w:p>
    <w:p>
      <w:pPr>
        <w:pStyle w:val="37"/>
        <w:numPr>
          <w:ilvl w:val="0"/>
          <w:numId w:val="0"/>
        </w:numPr>
        <w:spacing w:line="360" w:lineRule="auto"/>
        <w:ind w:firstLine="480" w:firstLineChars="200"/>
      </w:pPr>
      <w:r>
        <w:rPr>
          <w:rFonts w:hint="eastAsia"/>
        </w:rPr>
        <w:t>7、保存后点击上图“附件”按钮，弹出“附件管理”界面。如下图所示：</w:t>
      </w:r>
    </w:p>
    <w:bookmarkEnd w:id="53"/>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345565"/>
            <wp:effectExtent l="19050" t="0" r="254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noChangeArrowheads="1"/>
                    </pic:cNvPicPr>
                  </pic:nvPicPr>
                  <pic:blipFill>
                    <a:blip r:embed="rId25"/>
                    <a:srcRect/>
                    <a:stretch>
                      <a:fillRect/>
                    </a:stretch>
                  </pic:blipFill>
                  <pic:spPr>
                    <a:xfrm>
                      <a:off x="0" y="0"/>
                      <a:ext cx="5274310" cy="134613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sz w:val="28"/>
          <w:szCs w:val="28"/>
        </w:rPr>
      </w:pPr>
      <w:r>
        <w:rPr>
          <w:rFonts w:hint="eastAsia" w:ascii="宋体" w:hAnsi="宋体" w:eastAsia="宋体"/>
        </w:rPr>
        <w:t>图2.3.3-7 附件管理</w:t>
      </w:r>
    </w:p>
    <w:p>
      <w:pPr>
        <w:pStyle w:val="37"/>
        <w:spacing w:line="360" w:lineRule="auto"/>
        <w:ind w:firstLine="480" w:firstLineChars="200"/>
      </w:pPr>
      <w:r>
        <w:rPr>
          <w:rFonts w:hint="eastAsia"/>
        </w:rPr>
        <w:t>8、在上图选择要上传的附件类型（公告、公告须知等），再点击“上传”按钮，弹出”</w:t>
      </w:r>
      <w:bookmarkStart w:id="54" w:name="OLE_LINK17"/>
      <w:r>
        <w:rPr>
          <w:rFonts w:hint="eastAsia"/>
        </w:rPr>
        <w:t>新增</w:t>
      </w:r>
      <w:bookmarkEnd w:id="54"/>
      <w:r>
        <w:rPr>
          <w:rFonts w:hint="eastAsia"/>
        </w:rPr>
        <w:t>附件“对话框。如下图所示：</w:t>
      </w:r>
      <w:r>
        <w:t xml:space="preserve"> </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86375" cy="2266950"/>
            <wp:effectExtent l="19050" t="0" r="9525" b="0"/>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6"/>
                    <pic:cNvPicPr>
                      <a:picLocks noChangeAspect="1" noChangeArrowheads="1"/>
                    </pic:cNvPicPr>
                  </pic:nvPicPr>
                  <pic:blipFill>
                    <a:blip r:embed="rId26"/>
                    <a:srcRect/>
                    <a:stretch>
                      <a:fillRect/>
                    </a:stretch>
                  </pic:blipFill>
                  <pic:spPr>
                    <a:xfrm>
                      <a:off x="0" y="0"/>
                      <a:ext cx="5286375" cy="22669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图2.3.3-8 </w:t>
      </w:r>
      <w:r>
        <w:rPr>
          <w:rFonts w:hint="eastAsia"/>
        </w:rPr>
        <w:t>新增</w:t>
      </w:r>
      <w:r>
        <w:rPr>
          <w:rFonts w:hint="eastAsia" w:ascii="宋体" w:hAnsi="宋体" w:eastAsia="宋体"/>
        </w:rPr>
        <w:t>附件</w:t>
      </w:r>
    </w:p>
    <w:p>
      <w:pPr>
        <w:pStyle w:val="37"/>
        <w:spacing w:line="360" w:lineRule="auto"/>
        <w:ind w:firstLine="480" w:firstLineChars="200"/>
      </w:pPr>
      <w:r>
        <w:rPr>
          <w:rFonts w:hint="eastAsia"/>
        </w:rPr>
        <w:t>9、在上图点击“浏览”选择要上传的内容，再点击“上传”按钮，弹出对话框，点“确定”按钮即可。（上传公告必须为pdf格式，其它无要求）</w:t>
      </w:r>
    </w:p>
    <w:p>
      <w:pPr>
        <w:pStyle w:val="37"/>
        <w:spacing w:line="360" w:lineRule="auto"/>
        <w:ind w:firstLine="480" w:firstLineChars="200"/>
      </w:pPr>
      <w:r>
        <w:rPr>
          <w:rFonts w:hint="eastAsia"/>
        </w:rPr>
        <w:t>10、回到“交易公告编辑”界面，点击“提交”按钮，弹出对话框，点“确定”按钮即可。如下图所示：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2026920"/>
            <wp:effectExtent l="19050" t="0" r="2540" b="0"/>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noChangeArrowheads="1"/>
                    </pic:cNvPicPr>
                  </pic:nvPicPr>
                  <pic:blipFill>
                    <a:blip r:embed="rId27"/>
                    <a:srcRect/>
                    <a:stretch>
                      <a:fillRect/>
                    </a:stretch>
                  </pic:blipFill>
                  <pic:spPr>
                    <a:xfrm>
                      <a:off x="0" y="0"/>
                      <a:ext cx="5274310" cy="202725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图2.3.3-10 提交审核</w:t>
      </w:r>
    </w:p>
    <w:p>
      <w:pPr>
        <w:pStyle w:val="37"/>
        <w:spacing w:line="360" w:lineRule="auto"/>
        <w:ind w:firstLine="480" w:firstLineChars="200"/>
      </w:pPr>
      <w:r>
        <w:rPr>
          <w:rFonts w:hint="eastAsia"/>
        </w:rPr>
        <w:t>11、上图“提交”操作或可以在“公告信息”界面操作,选择“未发布”的状态，点击“查询”按钮，再选择所要发布的公告，然后点击“提交”按钮，弹出对话框，点“确定”按钮即可。如下图所示：</w:t>
      </w:r>
    </w:p>
    <w:p>
      <w:pPr>
        <w:pStyle w:val="26"/>
        <w:spacing w:line="360" w:lineRule="auto"/>
        <w:rPr>
          <w:rFonts w:ascii="宋体" w:hAnsi="宋体" w:eastAsia="宋体"/>
        </w:rPr>
      </w:pPr>
      <w:r>
        <w:rPr>
          <w:rFonts w:ascii="宋体" w:hAnsi="宋体" w:eastAsia="宋体"/>
        </w:rPr>
        <w:drawing>
          <wp:inline distT="0" distB="0" distL="0" distR="0">
            <wp:extent cx="5274310" cy="1410970"/>
            <wp:effectExtent l="19050" t="0" r="2540" b="0"/>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2"/>
                    <pic:cNvPicPr>
                      <a:picLocks noChangeAspect="1" noChangeArrowheads="1"/>
                    </pic:cNvPicPr>
                  </pic:nvPicPr>
                  <pic:blipFill>
                    <a:blip r:embed="rId28"/>
                    <a:srcRect/>
                    <a:stretch>
                      <a:fillRect/>
                    </a:stretch>
                  </pic:blipFill>
                  <pic:spPr>
                    <a:xfrm>
                      <a:off x="0" y="0"/>
                      <a:ext cx="5274310" cy="1411063"/>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图2.3.3-11 提交审核</w:t>
      </w:r>
    </w:p>
    <w:p>
      <w:pPr>
        <w:pStyle w:val="4"/>
        <w:rPr>
          <w:szCs w:val="28"/>
        </w:rPr>
      </w:pPr>
      <w:bookmarkStart w:id="55" w:name="_Toc16986"/>
      <w:bookmarkStart w:id="56" w:name="_Toc384993291"/>
      <w:r>
        <w:rPr>
          <w:rFonts w:hint="eastAsia"/>
        </w:rPr>
        <w:t>2.3.4　</w:t>
      </w:r>
      <w:r>
        <w:rPr>
          <w:rFonts w:hint="eastAsia"/>
          <w:szCs w:val="28"/>
        </w:rPr>
        <w:t>补充公告</w:t>
      </w:r>
      <w:bookmarkEnd w:id="55"/>
      <w:bookmarkEnd w:id="56"/>
    </w:p>
    <w:p>
      <w:pPr>
        <w:pStyle w:val="37"/>
        <w:numPr>
          <w:ilvl w:val="0"/>
          <w:numId w:val="2"/>
        </w:numPr>
        <w:spacing w:line="360" w:lineRule="auto"/>
        <w:ind w:firstLine="480" w:firstLineChars="200"/>
      </w:pPr>
      <w:r>
        <w:rPr>
          <w:rFonts w:hint="eastAsia"/>
        </w:rPr>
        <w:t>补充公告：针对交易系统异常或其他特殊情况需要对标的物发布补充公告，公告信息发布成功后会同步在交易系统及交易系统门户网站同步展示。</w:t>
      </w:r>
    </w:p>
    <w:p>
      <w:pPr>
        <w:pStyle w:val="37"/>
        <w:numPr>
          <w:ilvl w:val="0"/>
          <w:numId w:val="2"/>
        </w:numPr>
        <w:spacing w:line="360" w:lineRule="auto"/>
        <w:ind w:firstLine="480" w:firstLineChars="200"/>
      </w:pPr>
      <w:r>
        <w:rPr>
          <w:rFonts w:hint="eastAsia"/>
        </w:rPr>
        <w:t>在菜单栏选择点击“土地管理”－“补充公告”，进入“补充公告”界面。如下图所示：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039495"/>
            <wp:effectExtent l="19050" t="0" r="2540" b="0"/>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noChangeArrowheads="1"/>
                    </pic:cNvPicPr>
                  </pic:nvPicPr>
                  <pic:blipFill>
                    <a:blip r:embed="rId29"/>
                    <a:srcRect/>
                    <a:stretch>
                      <a:fillRect/>
                    </a:stretch>
                  </pic:blipFill>
                  <pic:spPr>
                    <a:xfrm>
                      <a:off x="0" y="0"/>
                      <a:ext cx="5274310" cy="103993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图2.3.4-2 补充公告界面</w:t>
      </w:r>
    </w:p>
    <w:p>
      <w:pPr>
        <w:pStyle w:val="26"/>
        <w:spacing w:line="360" w:lineRule="auto"/>
        <w:ind w:firstLine="480" w:firstLineChars="200"/>
        <w:rPr>
          <w:color w:val="auto"/>
        </w:rPr>
      </w:pPr>
      <w:r>
        <w:rPr>
          <w:rFonts w:hint="eastAsia"/>
          <w:color w:val="auto"/>
        </w:rPr>
        <w:t>3、在上图中“补充公告”界面，点击“创建补充公告”按钮，弹出“补充公告编辑”界面，填写补充公告信息，点击“保存”按钮，弹出对话框，点击“确定”按钮即可（</w:t>
      </w:r>
      <w:r>
        <w:rPr>
          <w:color w:val="auto"/>
        </w:rPr>
        <w:t>*</w:t>
      </w:r>
      <w:r>
        <w:rPr>
          <w:rFonts w:hint="eastAsia"/>
          <w:color w:val="auto"/>
        </w:rPr>
        <w:t>号项为必填项）。如下</w:t>
      </w:r>
      <w:r>
        <w:drawing>
          <wp:inline distT="0" distB="0" distL="114300" distR="114300">
            <wp:extent cx="5163185" cy="1571625"/>
            <wp:effectExtent l="19050" t="0" r="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30"/>
                    <a:srcRect r="1977" b="15123"/>
                    <a:stretch>
                      <a:fillRect/>
                    </a:stretch>
                  </pic:blipFill>
                  <pic:spPr>
                    <a:xfrm>
                      <a:off x="0" y="0"/>
                      <a:ext cx="5163185" cy="1571625"/>
                    </a:xfrm>
                    <a:prstGeom prst="rect">
                      <a:avLst/>
                    </a:prstGeom>
                    <a:noFill/>
                    <a:ln w="9525">
                      <a:noFill/>
                    </a:ln>
                  </pic:spPr>
                </pic:pic>
              </a:graphicData>
            </a:graphic>
          </wp:inline>
        </w:drawing>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162550" cy="281940"/>
            <wp:effectExtent l="19050" t="0" r="0" b="0"/>
            <wp:docPr id="3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1"/>
                    <pic:cNvPicPr>
                      <a:picLocks noChangeAspect="1" noChangeArrowheads="1"/>
                    </pic:cNvPicPr>
                  </pic:nvPicPr>
                  <pic:blipFill>
                    <a:blip r:embed="rId31"/>
                    <a:srcRect/>
                    <a:stretch>
                      <a:fillRect/>
                    </a:stretch>
                  </pic:blipFill>
                  <pic:spPr>
                    <a:xfrm>
                      <a:off x="0" y="0"/>
                      <a:ext cx="5162550" cy="28196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图2.3.4-3 补充公告录入</w:t>
      </w:r>
    </w:p>
    <w:p>
      <w:pPr>
        <w:pStyle w:val="37"/>
        <w:spacing w:line="360" w:lineRule="auto"/>
        <w:ind w:firstLine="480" w:firstLineChars="200"/>
      </w:pPr>
      <w:r>
        <w:rPr>
          <w:rFonts w:hint="eastAsia"/>
        </w:rPr>
        <w:t>4、在上图选择“附件</w:t>
      </w:r>
      <w:r>
        <w:t>”</w:t>
      </w:r>
      <w:r>
        <w:rPr>
          <w:rFonts w:hint="eastAsia"/>
        </w:rPr>
        <w:t>后进入“附件管理”界面，选择要上传的类型点击“上传”按钮上传附件（公告文件必须是</w:t>
      </w:r>
      <w:r>
        <w:t>PDF</w:t>
      </w:r>
      <w:r>
        <w:rPr>
          <w:rFonts w:hint="eastAsia"/>
        </w:rPr>
        <w:t>格式）。如下图所示：</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2005965"/>
            <wp:effectExtent l="19050" t="0" r="2540" b="0"/>
            <wp:docPr id="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8"/>
                    <pic:cNvPicPr>
                      <a:picLocks noChangeAspect="1" noChangeArrowheads="1"/>
                    </pic:cNvPicPr>
                  </pic:nvPicPr>
                  <pic:blipFill>
                    <a:blip r:embed="rId32"/>
                    <a:srcRect/>
                    <a:stretch>
                      <a:fillRect/>
                    </a:stretch>
                  </pic:blipFill>
                  <pic:spPr>
                    <a:xfrm>
                      <a:off x="0" y="0"/>
                      <a:ext cx="5274310" cy="200621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图2.3.4-4 附件管理</w:t>
      </w:r>
    </w:p>
    <w:p>
      <w:pPr>
        <w:pStyle w:val="37"/>
        <w:spacing w:line="360" w:lineRule="auto"/>
        <w:ind w:firstLine="480" w:firstLineChars="200"/>
      </w:pPr>
      <w:r>
        <w:rPr>
          <w:rFonts w:hint="eastAsia"/>
        </w:rPr>
        <w:t>5、点击上图“浏览”按钮，上传补充公告文件后，再点击“上传”按钮。弹出对话框，点击“确定”即可。</w:t>
      </w:r>
    </w:p>
    <w:p>
      <w:pPr>
        <w:pStyle w:val="37"/>
        <w:spacing w:line="360" w:lineRule="auto"/>
        <w:ind w:firstLine="480" w:firstLineChars="200"/>
        <w:rPr>
          <w:rStyle w:val="20"/>
        </w:rPr>
      </w:pPr>
      <w:r>
        <w:rPr>
          <w:rStyle w:val="20"/>
          <w:rFonts w:hint="eastAsia"/>
        </w:rPr>
        <w:t>6、上传完附件后，返回界面点击“发布”按钮，发布此公告。</w:t>
      </w:r>
    </w:p>
    <w:p>
      <w:pPr>
        <w:pStyle w:val="26"/>
        <w:spacing w:line="360" w:lineRule="auto"/>
        <w:jc w:val="center"/>
        <w:rPr>
          <w:rFonts w:ascii="宋体" w:hAnsi="宋体" w:eastAsia="宋体" w:cs="宋体"/>
          <w:color w:val="auto"/>
          <w:sz w:val="28"/>
          <w:szCs w:val="28"/>
        </w:rPr>
      </w:pPr>
      <w:r>
        <w:rPr>
          <w:rFonts w:ascii="宋体" w:hAnsi="宋体" w:eastAsia="宋体" w:cs="宋体"/>
          <w:sz w:val="28"/>
          <w:szCs w:val="28"/>
        </w:rPr>
        <w:drawing>
          <wp:inline distT="0" distB="0" distL="0" distR="0">
            <wp:extent cx="5105400" cy="1933575"/>
            <wp:effectExtent l="0" t="0" r="0" b="952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33"/>
                    <a:srcRect/>
                    <a:stretch>
                      <a:fillRect/>
                    </a:stretch>
                  </pic:blipFill>
                  <pic:spPr>
                    <a:xfrm>
                      <a:off x="0" y="0"/>
                      <a:ext cx="5105400" cy="193357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图2.3.4-6发布补充公告</w:t>
      </w:r>
    </w:p>
    <w:p>
      <w:pPr>
        <w:pStyle w:val="26"/>
        <w:spacing w:line="360" w:lineRule="auto"/>
        <w:rPr>
          <w:rStyle w:val="39"/>
        </w:rPr>
      </w:pPr>
    </w:p>
    <w:p>
      <w:pPr>
        <w:pStyle w:val="4"/>
      </w:pPr>
      <w:bookmarkStart w:id="57" w:name="_Toc19142"/>
      <w:r>
        <w:rPr>
          <w:rFonts w:hint="eastAsia"/>
        </w:rPr>
        <w:t>2.3.5　限价管理</w:t>
      </w:r>
      <w:bookmarkEnd w:id="57"/>
    </w:p>
    <w:p>
      <w:pPr>
        <w:pStyle w:val="37"/>
        <w:numPr>
          <w:ilvl w:val="0"/>
          <w:numId w:val="3"/>
        </w:numPr>
        <w:spacing w:line="360" w:lineRule="auto"/>
        <w:ind w:left="0" w:firstLine="480" w:firstLineChars="200"/>
      </w:pPr>
      <w:r>
        <w:rPr>
          <w:rFonts w:hint="eastAsia"/>
        </w:rPr>
        <w:t>在菜单栏选择点击“土地管理”――“限价管理”。如下图所示：</w:t>
      </w:r>
    </w:p>
    <w:p>
      <w:pPr>
        <w:pStyle w:val="37"/>
        <w:spacing w:line="360" w:lineRule="auto"/>
      </w:pPr>
      <w:r>
        <w:rPr>
          <w:rFonts w:hint="eastAsia"/>
        </w:rPr>
        <w:drawing>
          <wp:inline distT="0" distB="0" distL="0" distR="0">
            <wp:extent cx="5274310" cy="1082040"/>
            <wp:effectExtent l="19050" t="0" r="254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noChangeArrowheads="1"/>
                    </pic:cNvPicPr>
                  </pic:nvPicPr>
                  <pic:blipFill>
                    <a:blip r:embed="rId34"/>
                    <a:srcRect/>
                    <a:stretch>
                      <a:fillRect/>
                    </a:stretch>
                  </pic:blipFill>
                  <pic:spPr>
                    <a:xfrm>
                      <a:off x="0" y="0"/>
                      <a:ext cx="5274310" cy="1082593"/>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图2.3.5-1 限价管理界面</w:t>
      </w:r>
    </w:p>
    <w:p>
      <w:pPr>
        <w:pStyle w:val="37"/>
        <w:numPr>
          <w:ilvl w:val="0"/>
          <w:numId w:val="3"/>
        </w:numPr>
        <w:spacing w:line="360" w:lineRule="auto"/>
        <w:ind w:left="0" w:firstLine="480" w:firstLineChars="200"/>
      </w:pPr>
      <w:r>
        <w:rPr>
          <w:rFonts w:hint="eastAsia"/>
        </w:rPr>
        <w:t>在上图“标的”下拉框里面选择要限价的标的，再点击“修改封项价”按钮，弹出对话框。如下图所示：</w:t>
      </w:r>
    </w:p>
    <w:p>
      <w:pPr>
        <w:pStyle w:val="37"/>
        <w:spacing w:line="360" w:lineRule="auto"/>
      </w:pPr>
      <w:r>
        <w:drawing>
          <wp:inline distT="0" distB="0" distL="0" distR="0">
            <wp:extent cx="5274310" cy="1344930"/>
            <wp:effectExtent l="19050" t="0" r="2540" b="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noChangeArrowheads="1"/>
                    </pic:cNvPicPr>
                  </pic:nvPicPr>
                  <pic:blipFill>
                    <a:blip r:embed="rId35"/>
                    <a:srcRect/>
                    <a:stretch>
                      <a:fillRect/>
                    </a:stretch>
                  </pic:blipFill>
                  <pic:spPr>
                    <a:xfrm>
                      <a:off x="0" y="0"/>
                      <a:ext cx="5274310" cy="134526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bookmarkStart w:id="58" w:name="OLE_LINK7"/>
      <w:r>
        <w:rPr>
          <w:rFonts w:hint="eastAsia" w:ascii="宋体" w:hAnsi="宋体" w:eastAsia="宋体"/>
        </w:rPr>
        <w:t>图2.3.5-2 封顶值录入</w:t>
      </w:r>
    </w:p>
    <w:bookmarkEnd w:id="58"/>
    <w:p>
      <w:pPr>
        <w:pStyle w:val="37"/>
        <w:numPr>
          <w:ilvl w:val="0"/>
          <w:numId w:val="3"/>
        </w:numPr>
        <w:spacing w:line="360" w:lineRule="auto"/>
        <w:ind w:left="0" w:firstLine="480" w:firstLineChars="200"/>
      </w:pPr>
      <w:r>
        <w:rPr>
          <w:rFonts w:hint="eastAsia"/>
        </w:rPr>
        <w:t>在上图点击“确定”，弹出对话框点击“确定”即可。</w:t>
      </w:r>
    </w:p>
    <w:p>
      <w:pPr>
        <w:pStyle w:val="37"/>
        <w:numPr>
          <w:ilvl w:val="0"/>
          <w:numId w:val="3"/>
        </w:numPr>
        <w:spacing w:line="360" w:lineRule="auto"/>
        <w:ind w:left="0" w:firstLine="480" w:firstLineChars="200"/>
      </w:pPr>
      <w:r>
        <w:rPr>
          <w:rFonts w:hint="eastAsia"/>
        </w:rPr>
        <w:t>注意：1、限价标的必须没有审核发布的信息，审核状态为空。</w:t>
      </w:r>
    </w:p>
    <w:p>
      <w:pPr>
        <w:pStyle w:val="37"/>
        <w:spacing w:line="360" w:lineRule="auto"/>
        <w:ind w:left="480"/>
      </w:pPr>
      <w:r>
        <w:rPr>
          <w:rFonts w:hint="eastAsia"/>
        </w:rPr>
        <w:t xml:space="preserve">  </w:t>
      </w:r>
      <w:r>
        <w:t xml:space="preserve">      </w:t>
      </w:r>
      <w:r>
        <w:rPr>
          <w:rFonts w:hint="eastAsia"/>
        </w:rPr>
        <w:t xml:space="preserve"> 2、限价标的封顶值必须大于起始价。</w:t>
      </w:r>
    </w:p>
    <w:p>
      <w:pPr>
        <w:pStyle w:val="4"/>
      </w:pPr>
      <w:bookmarkStart w:id="59" w:name="_Toc19389"/>
      <w:r>
        <w:rPr>
          <w:rFonts w:hint="eastAsia"/>
        </w:rPr>
        <w:t>2.3.6　底价管理</w:t>
      </w:r>
      <w:bookmarkEnd w:id="59"/>
    </w:p>
    <w:p>
      <w:pPr>
        <w:pStyle w:val="37"/>
        <w:numPr>
          <w:ilvl w:val="0"/>
          <w:numId w:val="4"/>
        </w:numPr>
        <w:spacing w:line="360" w:lineRule="auto"/>
        <w:ind w:left="0" w:firstLine="480" w:firstLineChars="200"/>
      </w:pPr>
      <w:r>
        <w:rPr>
          <w:rFonts w:hint="eastAsia"/>
        </w:rPr>
        <w:t>在菜单栏选择点击“土地管理”――“底价管理”。如下图所示：</w:t>
      </w:r>
    </w:p>
    <w:p>
      <w:pPr>
        <w:pStyle w:val="37"/>
        <w:spacing w:line="360" w:lineRule="auto"/>
      </w:pPr>
      <w:r>
        <w:rPr>
          <w:rFonts w:hint="eastAsia"/>
        </w:rPr>
        <w:drawing>
          <wp:inline distT="0" distB="0" distL="0" distR="0">
            <wp:extent cx="5161915" cy="1314450"/>
            <wp:effectExtent l="19050" t="0" r="635" b="0"/>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noChangeArrowheads="1"/>
                    </pic:cNvPicPr>
                  </pic:nvPicPr>
                  <pic:blipFill>
                    <a:blip r:embed="rId36"/>
                    <a:srcRect/>
                    <a:stretch>
                      <a:fillRect/>
                    </a:stretch>
                  </pic:blipFill>
                  <pic:spPr>
                    <a:xfrm>
                      <a:off x="0" y="0"/>
                      <a:ext cx="5168653" cy="131616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图2.3.6-1 底价管理界面</w:t>
      </w:r>
    </w:p>
    <w:p>
      <w:pPr>
        <w:pStyle w:val="37"/>
        <w:numPr>
          <w:ilvl w:val="0"/>
          <w:numId w:val="4"/>
        </w:numPr>
        <w:spacing w:line="360" w:lineRule="auto"/>
        <w:ind w:left="0" w:firstLine="480" w:firstLineChars="200"/>
      </w:pPr>
      <w:r>
        <w:rPr>
          <w:rFonts w:hint="eastAsia"/>
        </w:rPr>
        <w:t>在上图选择要限价的宗地，点击“修改底价”按钮，弹出对话框。如下图所示：</w:t>
      </w:r>
    </w:p>
    <w:p>
      <w:pPr>
        <w:pStyle w:val="26"/>
        <w:spacing w:line="360" w:lineRule="auto"/>
        <w:ind w:firstLine="360" w:firstLineChars="150"/>
        <w:rPr>
          <w:rFonts w:ascii="宋体" w:hAnsi="宋体" w:eastAsia="宋体"/>
        </w:rPr>
      </w:pPr>
      <w:r>
        <w:rPr>
          <w:rFonts w:ascii="宋体" w:hAnsi="宋体" w:eastAsia="宋体"/>
        </w:rPr>
        <w:drawing>
          <wp:inline distT="0" distB="0" distL="0" distR="0">
            <wp:extent cx="5274310" cy="1148080"/>
            <wp:effectExtent l="19050" t="0" r="254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7"/>
                    <a:srcRect/>
                    <a:stretch>
                      <a:fillRect/>
                    </a:stretch>
                  </pic:blipFill>
                  <pic:spPr>
                    <a:xfrm>
                      <a:off x="0" y="0"/>
                      <a:ext cx="5274310" cy="114822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图2.3.6-2 底价值录入</w:t>
      </w:r>
    </w:p>
    <w:p>
      <w:pPr>
        <w:pStyle w:val="37"/>
        <w:numPr>
          <w:ilvl w:val="0"/>
          <w:numId w:val="4"/>
        </w:numPr>
        <w:spacing w:line="360" w:lineRule="auto"/>
        <w:ind w:left="0" w:firstLine="480" w:firstLineChars="200"/>
      </w:pPr>
      <w:r>
        <w:rPr>
          <w:rFonts w:hint="eastAsia"/>
        </w:rPr>
        <w:t>在上图对话框里面输入底价，点击“确定”，弹出对话框点击“确定”即可。</w:t>
      </w:r>
    </w:p>
    <w:p>
      <w:pPr>
        <w:pStyle w:val="37"/>
        <w:numPr>
          <w:ilvl w:val="0"/>
          <w:numId w:val="4"/>
        </w:numPr>
        <w:spacing w:line="360" w:lineRule="auto"/>
        <w:ind w:left="0" w:firstLine="480" w:firstLineChars="200"/>
      </w:pPr>
      <w:r>
        <w:rPr>
          <w:rFonts w:hint="eastAsia"/>
        </w:rPr>
        <w:t>注意：输入的底价必须大于起始价。</w:t>
      </w:r>
    </w:p>
    <w:p>
      <w:pPr>
        <w:pStyle w:val="3"/>
      </w:pPr>
      <w:bookmarkStart w:id="60" w:name="_Toc23129"/>
      <w:r>
        <w:rPr>
          <w:rFonts w:hint="eastAsia"/>
        </w:rPr>
        <w:t>2.4　交易管理</w:t>
      </w:r>
      <w:bookmarkEnd w:id="60"/>
    </w:p>
    <w:p>
      <w:pPr>
        <w:pStyle w:val="4"/>
      </w:pPr>
      <w:bookmarkStart w:id="61" w:name="_Toc384993293"/>
      <w:bookmarkStart w:id="62" w:name="_Toc6512"/>
      <w:r>
        <w:rPr>
          <w:rFonts w:hint="eastAsia"/>
        </w:rPr>
        <w:t>2.4.1　交易</w:t>
      </w:r>
      <w:bookmarkEnd w:id="61"/>
      <w:r>
        <w:rPr>
          <w:rFonts w:hint="eastAsia"/>
        </w:rPr>
        <w:t>中止</w:t>
      </w:r>
      <w:bookmarkEnd w:id="62"/>
    </w:p>
    <w:p>
      <w:pPr>
        <w:pStyle w:val="5"/>
      </w:pPr>
      <w:bookmarkStart w:id="63" w:name="_Toc32021"/>
      <w:r>
        <w:rPr>
          <w:rFonts w:hint="eastAsia"/>
        </w:rPr>
        <w:t>2.4.1.1　交易中止</w:t>
      </w:r>
      <w:bookmarkEnd w:id="63"/>
    </w:p>
    <w:p>
      <w:pPr>
        <w:pStyle w:val="37"/>
        <w:spacing w:line="360" w:lineRule="auto"/>
        <w:ind w:firstLine="480" w:firstLineChars="200"/>
      </w:pPr>
      <w:r>
        <w:rPr>
          <w:rFonts w:hint="eastAsia"/>
        </w:rPr>
        <w:t>1、在菜单栏选择点击“交易管理”――“交易中止”。如下图所示：</w:t>
      </w:r>
    </w:p>
    <w:p>
      <w:pPr>
        <w:pStyle w:val="37"/>
        <w:spacing w:line="360" w:lineRule="auto"/>
      </w:pPr>
      <w:r>
        <w:drawing>
          <wp:inline distT="0" distB="0" distL="0" distR="0">
            <wp:extent cx="5274310" cy="1226820"/>
            <wp:effectExtent l="19050" t="0" r="2540"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noChangeArrowheads="1"/>
                    </pic:cNvPicPr>
                  </pic:nvPicPr>
                  <pic:blipFill>
                    <a:blip r:embed="rId38"/>
                    <a:srcRect/>
                    <a:stretch>
                      <a:fillRect/>
                    </a:stretch>
                  </pic:blipFill>
                  <pic:spPr>
                    <a:xfrm>
                      <a:off x="0" y="0"/>
                      <a:ext cx="5274310" cy="122695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sz w:val="28"/>
          <w:szCs w:val="28"/>
        </w:rPr>
      </w:pPr>
      <w:r>
        <w:rPr>
          <w:rFonts w:hint="eastAsia" w:ascii="宋体" w:hAnsi="宋体" w:eastAsia="宋体"/>
        </w:rPr>
        <w:t>图2.4.1.1-1 交易</w:t>
      </w:r>
      <w:r>
        <w:rPr>
          <w:rFonts w:hint="eastAsia"/>
        </w:rPr>
        <w:t>中止</w:t>
      </w:r>
    </w:p>
    <w:p>
      <w:pPr>
        <w:pStyle w:val="37"/>
        <w:numPr>
          <w:ilvl w:val="0"/>
          <w:numId w:val="0"/>
        </w:numPr>
        <w:spacing w:line="360" w:lineRule="auto"/>
        <w:ind w:left="0" w:firstLine="480" w:firstLineChars="200"/>
      </w:pPr>
      <w:r>
        <w:rPr>
          <w:rFonts w:hint="eastAsia"/>
        </w:rPr>
        <w:t>2、在上图，选择将要中止的标的物，点击“中止”按钮，弹出”流程中止“对话框。如下图所示：</w:t>
      </w:r>
    </w:p>
    <w:p>
      <w:pPr>
        <w:pStyle w:val="37"/>
        <w:spacing w:line="360" w:lineRule="auto"/>
      </w:pPr>
      <w:r>
        <w:rPr>
          <w:rFonts w:hint="eastAsia"/>
        </w:rPr>
        <w:drawing>
          <wp:inline distT="0" distB="0" distL="0" distR="0">
            <wp:extent cx="5274310" cy="2262505"/>
            <wp:effectExtent l="19050" t="0" r="2540"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noChangeArrowheads="1"/>
                    </pic:cNvPicPr>
                  </pic:nvPicPr>
                  <pic:blipFill>
                    <a:blip r:embed="rId39"/>
                    <a:srcRect/>
                    <a:stretch>
                      <a:fillRect/>
                    </a:stretch>
                  </pic:blipFill>
                  <pic:spPr>
                    <a:xfrm>
                      <a:off x="0" y="0"/>
                      <a:ext cx="5274310" cy="226287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图2.4.1.1-2 流程中止</w:t>
      </w:r>
    </w:p>
    <w:p>
      <w:pPr>
        <w:pStyle w:val="37"/>
        <w:numPr>
          <w:ilvl w:val="0"/>
          <w:numId w:val="0"/>
        </w:numPr>
        <w:spacing w:line="360" w:lineRule="auto"/>
        <w:ind w:left="0" w:firstLine="480" w:firstLineChars="200"/>
      </w:pPr>
      <w:r>
        <w:rPr>
          <w:rFonts w:hint="eastAsia"/>
        </w:rPr>
        <w:t>3、在上图点击“中止”按钮，弹出对话框点击“确定”按钮即可。如下图所示：</w:t>
      </w:r>
    </w:p>
    <w:p>
      <w:pPr>
        <w:pStyle w:val="37"/>
        <w:spacing w:line="360" w:lineRule="auto"/>
      </w:pPr>
      <w:r>
        <w:rPr>
          <w:rFonts w:hint="eastAsia"/>
        </w:rPr>
        <w:drawing>
          <wp:inline distT="0" distB="0" distL="0" distR="0">
            <wp:extent cx="5274310" cy="739775"/>
            <wp:effectExtent l="19050" t="0" r="2540" b="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noChangeArrowheads="1"/>
                    </pic:cNvPicPr>
                  </pic:nvPicPr>
                  <pic:blipFill>
                    <a:blip r:embed="rId40"/>
                    <a:srcRect/>
                    <a:stretch>
                      <a:fillRect/>
                    </a:stretch>
                  </pic:blipFill>
                  <pic:spPr>
                    <a:xfrm>
                      <a:off x="0" y="0"/>
                      <a:ext cx="5274310" cy="73978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图2.4.1.1-3 交易中止</w:t>
      </w:r>
    </w:p>
    <w:p>
      <w:pPr>
        <w:pStyle w:val="5"/>
      </w:pPr>
      <w:bookmarkStart w:id="64" w:name="_Toc2647"/>
      <w:r>
        <w:rPr>
          <w:rFonts w:hint="eastAsia"/>
        </w:rPr>
        <w:t>2.4.1.2　交易恢复</w:t>
      </w:r>
      <w:bookmarkEnd w:id="64"/>
    </w:p>
    <w:p>
      <w:pPr>
        <w:pStyle w:val="37"/>
        <w:spacing w:line="360" w:lineRule="auto"/>
        <w:ind w:firstLine="480" w:firstLineChars="200"/>
      </w:pPr>
      <w:r>
        <w:rPr>
          <w:rFonts w:hint="eastAsia"/>
        </w:rPr>
        <w:t>1、在菜单栏选择点击“交易管理”――“交易中止”。如下图所示：</w:t>
      </w:r>
    </w:p>
    <w:p>
      <w:r>
        <w:rPr>
          <w:rFonts w:hint="eastAsia"/>
        </w:rPr>
        <w:drawing>
          <wp:inline distT="0" distB="0" distL="0" distR="0">
            <wp:extent cx="5274310" cy="1230630"/>
            <wp:effectExtent l="19050" t="0" r="254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noChangeArrowheads="1"/>
                    </pic:cNvPicPr>
                  </pic:nvPicPr>
                  <pic:blipFill>
                    <a:blip r:embed="rId41"/>
                    <a:srcRect/>
                    <a:stretch>
                      <a:fillRect/>
                    </a:stretch>
                  </pic:blipFill>
                  <pic:spPr>
                    <a:xfrm>
                      <a:off x="0" y="0"/>
                      <a:ext cx="5274310" cy="123067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图2.4.1.2-1 交易中止</w:t>
      </w:r>
    </w:p>
    <w:p>
      <w:pPr>
        <w:pStyle w:val="37"/>
        <w:spacing w:line="360" w:lineRule="auto"/>
        <w:ind w:firstLine="480" w:firstLineChars="200"/>
      </w:pPr>
      <w:r>
        <w:rPr>
          <w:rFonts w:hint="eastAsia"/>
        </w:rPr>
        <w:t>2、在上图选择将要恢复运行的标的物，点击“恢复运行”按钮，进入“流程启动“界面。如下图所示：</w:t>
      </w:r>
    </w:p>
    <w:p>
      <w:pPr>
        <w:pStyle w:val="37"/>
        <w:spacing w:line="360" w:lineRule="auto"/>
        <w:ind w:left="284"/>
      </w:pPr>
      <w:r>
        <w:rPr>
          <w:rFonts w:hint="eastAsia"/>
        </w:rPr>
        <w:drawing>
          <wp:inline distT="0" distB="0" distL="0" distR="0">
            <wp:extent cx="5274310" cy="1933575"/>
            <wp:effectExtent l="19050" t="0" r="2540" b="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noChangeArrowheads="1"/>
                    </pic:cNvPicPr>
                  </pic:nvPicPr>
                  <pic:blipFill>
                    <a:blip r:embed="rId42"/>
                    <a:srcRect b="49626"/>
                    <a:stretch>
                      <a:fillRect/>
                    </a:stretch>
                  </pic:blipFill>
                  <pic:spPr>
                    <a:xfrm>
                      <a:off x="0" y="0"/>
                      <a:ext cx="5274310" cy="193365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图2.4.1.2-2 流程启动</w:t>
      </w:r>
    </w:p>
    <w:p>
      <w:pPr>
        <w:pStyle w:val="37"/>
        <w:spacing w:line="360" w:lineRule="auto"/>
        <w:ind w:firstLine="480" w:firstLineChars="200"/>
      </w:pPr>
      <w:r>
        <w:rPr>
          <w:rFonts w:hint="eastAsia"/>
        </w:rPr>
        <w:t>3、在上图“启动时间设置”单选按钮里，选择“设置推迟时间”；再在“所有时间向后推迟”文本框里面设置推迟多少天数。点击“恢复运行”按钮，弹出对话框，点击“确定”即可。</w:t>
      </w:r>
    </w:p>
    <w:p>
      <w:pPr>
        <w:pStyle w:val="37"/>
        <w:spacing w:line="360" w:lineRule="auto"/>
        <w:ind w:firstLine="480" w:firstLineChars="200"/>
      </w:pPr>
      <w:r>
        <w:rPr>
          <w:rFonts w:hint="eastAsia"/>
        </w:rPr>
        <w:t>4、或可设置具体向后推迟时间，把“启动时间设置”单选按钮设置为“设置具体时间”，再在交易时间信息里面填定写具体交易时间信息即可。</w:t>
      </w:r>
    </w:p>
    <w:p>
      <w:pPr>
        <w:pStyle w:val="37"/>
        <w:spacing w:line="360" w:lineRule="auto"/>
      </w:pPr>
      <w:r>
        <w:rPr>
          <w:rFonts w:hint="eastAsia"/>
        </w:rPr>
        <w:drawing>
          <wp:inline distT="0" distB="0" distL="0" distR="0">
            <wp:extent cx="5274310" cy="2028825"/>
            <wp:effectExtent l="19050" t="0" r="2540"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9"/>
                    <pic:cNvPicPr>
                      <a:picLocks noChangeAspect="1" noChangeArrowheads="1"/>
                    </pic:cNvPicPr>
                  </pic:nvPicPr>
                  <pic:blipFill>
                    <a:blip r:embed="rId43"/>
                    <a:srcRect/>
                    <a:stretch>
                      <a:fillRect/>
                    </a:stretch>
                  </pic:blipFill>
                  <pic:spPr>
                    <a:xfrm>
                      <a:off x="0" y="0"/>
                      <a:ext cx="5274310" cy="202882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图2.4.1.2-4 流程启动</w:t>
      </w:r>
    </w:p>
    <w:p>
      <w:pPr>
        <w:pStyle w:val="37"/>
        <w:spacing w:line="360" w:lineRule="auto"/>
        <w:ind w:firstLine="480" w:firstLineChars="200"/>
      </w:pPr>
      <w:r>
        <w:rPr>
          <w:rFonts w:hint="eastAsia"/>
        </w:rPr>
        <w:t>5、完成上图具体交易时间信息后，点击“恢复运行”按钮，弹出对话框点击“确定”按钮即可。</w:t>
      </w:r>
    </w:p>
    <w:p>
      <w:pPr>
        <w:pStyle w:val="5"/>
      </w:pPr>
      <w:bookmarkStart w:id="65" w:name="_Toc10540"/>
      <w:r>
        <w:rPr>
          <w:rFonts w:hint="eastAsia"/>
        </w:rPr>
        <w:t>2.4.1.3　交易终止</w:t>
      </w:r>
      <w:bookmarkEnd w:id="65"/>
    </w:p>
    <w:p>
      <w:pPr>
        <w:pStyle w:val="37"/>
        <w:spacing w:line="360" w:lineRule="auto"/>
        <w:ind w:firstLine="480" w:firstLineChars="200"/>
      </w:pPr>
      <w:r>
        <w:rPr>
          <w:rFonts w:hint="eastAsia"/>
        </w:rPr>
        <w:t>1、在菜单栏选择点击“交易管理”――“交易中止”。如下图所示：</w:t>
      </w:r>
    </w:p>
    <w:p>
      <w:pPr>
        <w:pStyle w:val="37"/>
        <w:spacing w:line="360" w:lineRule="auto"/>
        <w:jc w:val="both"/>
      </w:pPr>
      <w:r>
        <w:drawing>
          <wp:inline distT="0" distB="0" distL="0" distR="0">
            <wp:extent cx="5274310" cy="1226820"/>
            <wp:effectExtent l="19050" t="0" r="2540" b="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noChangeArrowheads="1"/>
                    </pic:cNvPicPr>
                  </pic:nvPicPr>
                  <pic:blipFill>
                    <a:blip r:embed="rId38"/>
                    <a:srcRect/>
                    <a:stretch>
                      <a:fillRect/>
                    </a:stretch>
                  </pic:blipFill>
                  <pic:spPr>
                    <a:xfrm>
                      <a:off x="0" y="0"/>
                      <a:ext cx="5274310" cy="122695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图2.4.1.3-1 交易中止</w:t>
      </w:r>
    </w:p>
    <w:p>
      <w:pPr>
        <w:pStyle w:val="37"/>
        <w:spacing w:line="360" w:lineRule="auto"/>
        <w:ind w:left="0" w:firstLine="480" w:firstLineChars="200"/>
      </w:pPr>
      <w:r>
        <w:rPr>
          <w:rFonts w:hint="eastAsia"/>
        </w:rPr>
        <w:t>2、在上图，选择将要终止的标的物，点击“终止”按钮，弹出“提示”对话框，点击“是”，即可。如下图所示：</w:t>
      </w:r>
    </w:p>
    <w:p>
      <w:pPr>
        <w:pStyle w:val="37"/>
        <w:spacing w:line="360" w:lineRule="auto"/>
        <w:jc w:val="both"/>
      </w:pPr>
      <w:r>
        <w:rPr>
          <w:rFonts w:hint="eastAsia"/>
        </w:rPr>
        <w:drawing>
          <wp:inline distT="0" distB="0" distL="0" distR="0">
            <wp:extent cx="5343525" cy="933450"/>
            <wp:effectExtent l="19050" t="0" r="9525" b="0"/>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noChangeArrowheads="1"/>
                    </pic:cNvPicPr>
                  </pic:nvPicPr>
                  <pic:blipFill>
                    <a:blip r:embed="rId44"/>
                    <a:srcRect/>
                    <a:stretch>
                      <a:fillRect/>
                    </a:stretch>
                  </pic:blipFill>
                  <pic:spPr>
                    <a:xfrm>
                      <a:off x="0" y="0"/>
                      <a:ext cx="5343525" cy="93345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图2.4.1.3-2 交易终止-提示</w:t>
      </w:r>
    </w:p>
    <w:p>
      <w:pPr>
        <w:pStyle w:val="37"/>
        <w:spacing w:line="360" w:lineRule="auto"/>
        <w:ind w:firstLine="480" w:firstLineChars="200"/>
        <w:jc w:val="left"/>
      </w:pPr>
      <w:r>
        <w:rPr>
          <w:rFonts w:hint="eastAsia"/>
        </w:rPr>
        <w:t>3、完成终止操作后，可以看到操作选项里面只有“历史”可以查询。</w:t>
      </w:r>
    </w:p>
    <w:p>
      <w:pPr>
        <w:pStyle w:val="37"/>
        <w:spacing w:line="360" w:lineRule="auto"/>
        <w:jc w:val="both"/>
      </w:pPr>
      <w:r>
        <w:rPr>
          <w:rFonts w:hint="eastAsia"/>
        </w:rPr>
        <w:drawing>
          <wp:inline distT="0" distB="0" distL="0" distR="0">
            <wp:extent cx="5274310" cy="413385"/>
            <wp:effectExtent l="19050" t="0" r="2540" b="0"/>
            <wp:docPr id="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
                    <pic:cNvPicPr>
                      <a:picLocks noChangeAspect="1" noChangeArrowheads="1"/>
                    </pic:cNvPicPr>
                  </pic:nvPicPr>
                  <pic:blipFill>
                    <a:blip r:embed="rId45"/>
                    <a:srcRect b="26364"/>
                    <a:stretch>
                      <a:fillRect/>
                    </a:stretch>
                  </pic:blipFill>
                  <pic:spPr>
                    <a:xfrm>
                      <a:off x="0" y="0"/>
                      <a:ext cx="5274310" cy="41381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图2.4.1.3-3 交易中止</w:t>
      </w:r>
    </w:p>
    <w:p>
      <w:pPr>
        <w:pStyle w:val="4"/>
      </w:pPr>
      <w:bookmarkStart w:id="66" w:name="_Toc27472"/>
      <w:r>
        <w:rPr>
          <w:rFonts w:hint="eastAsia"/>
        </w:rPr>
        <w:t>2.4.2　交易信息修改</w:t>
      </w:r>
      <w:bookmarkEnd w:id="66"/>
    </w:p>
    <w:p>
      <w:pPr>
        <w:pStyle w:val="37"/>
        <w:spacing w:line="360" w:lineRule="auto"/>
        <w:ind w:firstLine="480" w:firstLineChars="200"/>
      </w:pPr>
      <w:r>
        <w:rPr>
          <w:rFonts w:hint="eastAsia"/>
        </w:rPr>
        <w:t>1、在菜单栏选择点击“交易管理”――“交易信息修改”。如下图所示：</w:t>
      </w:r>
    </w:p>
    <w:p>
      <w:pPr>
        <w:pStyle w:val="37"/>
        <w:spacing w:line="360" w:lineRule="auto"/>
        <w:jc w:val="both"/>
        <w:rPr>
          <w:b/>
        </w:rPr>
      </w:pPr>
      <w:r>
        <w:rPr>
          <w:rFonts w:hint="eastAsia"/>
          <w:b/>
        </w:rPr>
        <w:drawing>
          <wp:inline distT="0" distB="0" distL="0" distR="0">
            <wp:extent cx="5274310" cy="1981200"/>
            <wp:effectExtent l="19050" t="0" r="2540" b="0"/>
            <wp:docPr id="4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8"/>
                    <pic:cNvPicPr>
                      <a:picLocks noChangeAspect="1" noChangeArrowheads="1"/>
                    </pic:cNvPicPr>
                  </pic:nvPicPr>
                  <pic:blipFill>
                    <a:blip r:embed="rId46"/>
                    <a:srcRect/>
                    <a:stretch>
                      <a:fillRect/>
                    </a:stretch>
                  </pic:blipFill>
                  <pic:spPr>
                    <a:xfrm>
                      <a:off x="0" y="0"/>
                      <a:ext cx="5274310" cy="198120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图2.4.2-1 交易信息修改</w:t>
      </w:r>
    </w:p>
    <w:p>
      <w:pPr>
        <w:pStyle w:val="37"/>
        <w:spacing w:line="360" w:lineRule="auto"/>
        <w:ind w:firstLine="480" w:firstLineChars="200"/>
      </w:pPr>
      <w:r>
        <w:rPr>
          <w:rFonts w:hint="eastAsia"/>
        </w:rPr>
        <w:t>2、在上图，选择将要修改的标的物进行修改操作，修改完后点“保存”即可，修改完成后，操作选项会显示“撤消”此操作按钮。</w:t>
      </w:r>
    </w:p>
    <w:p>
      <w:pPr>
        <w:pStyle w:val="4"/>
      </w:pPr>
      <w:bookmarkStart w:id="67" w:name="_Toc12715"/>
      <w:r>
        <w:rPr>
          <w:rFonts w:hint="eastAsia"/>
        </w:rPr>
        <w:t>2.4.3　交易监控</w:t>
      </w:r>
      <w:bookmarkEnd w:id="67"/>
    </w:p>
    <w:p>
      <w:pPr>
        <w:pStyle w:val="37"/>
        <w:spacing w:line="360" w:lineRule="auto"/>
        <w:ind w:left="0" w:firstLine="480" w:firstLineChars="200"/>
      </w:pPr>
      <w:r>
        <w:rPr>
          <w:rFonts w:hint="eastAsia"/>
        </w:rPr>
        <w:t>1、在菜单栏选择点击“交易管理”――“交易监控”。如下图所示：</w:t>
      </w:r>
    </w:p>
    <w:p>
      <w:pPr>
        <w:pStyle w:val="26"/>
        <w:spacing w:line="360" w:lineRule="auto"/>
        <w:ind w:left="284"/>
        <w:rPr>
          <w:rFonts w:ascii="宋体" w:hAnsi="宋体" w:eastAsia="宋体"/>
        </w:rPr>
      </w:pPr>
      <w:r>
        <w:rPr>
          <w:rFonts w:ascii="宋体" w:hAnsi="宋体" w:eastAsia="宋体"/>
        </w:rPr>
        <w:drawing>
          <wp:inline distT="0" distB="0" distL="0" distR="0">
            <wp:extent cx="5274310" cy="989330"/>
            <wp:effectExtent l="19050" t="0" r="2540" b="0"/>
            <wp:docPr id="5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0"/>
                    <pic:cNvPicPr>
                      <a:picLocks noChangeAspect="1" noChangeArrowheads="1"/>
                    </pic:cNvPicPr>
                  </pic:nvPicPr>
                  <pic:blipFill>
                    <a:blip r:embed="rId47"/>
                    <a:srcRect/>
                    <a:stretch>
                      <a:fillRect/>
                    </a:stretch>
                  </pic:blipFill>
                  <pic:spPr>
                    <a:xfrm>
                      <a:off x="0" y="0"/>
                      <a:ext cx="5274310" cy="989931"/>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图2.4.3-1 交易监控</w:t>
      </w:r>
    </w:p>
    <w:p>
      <w:pPr>
        <w:pStyle w:val="37"/>
        <w:spacing w:line="360" w:lineRule="auto"/>
        <w:ind w:firstLine="480" w:firstLineChars="200"/>
      </w:pPr>
      <w:r>
        <w:rPr>
          <w:rFonts w:hint="eastAsia"/>
        </w:rPr>
        <w:t>2、在上图点击“竞价监控”后，直接进入“土地竞买主界面”即交易大厅。</w:t>
      </w:r>
    </w:p>
    <w:p>
      <w:pPr>
        <w:pStyle w:val="3"/>
      </w:pPr>
      <w:bookmarkStart w:id="68" w:name="_Toc15921"/>
      <w:r>
        <w:rPr>
          <w:rFonts w:hint="eastAsia"/>
        </w:rPr>
        <w:t>2.5　统计</w:t>
      </w:r>
      <w:bookmarkEnd w:id="68"/>
    </w:p>
    <w:p>
      <w:pPr>
        <w:pStyle w:val="4"/>
      </w:pPr>
      <w:bookmarkStart w:id="69" w:name="_Toc10253"/>
      <w:r>
        <w:rPr>
          <w:rFonts w:hint="eastAsia"/>
        </w:rPr>
        <w:t>2.5.1　交易统计</w:t>
      </w:r>
      <w:bookmarkEnd w:id="69"/>
    </w:p>
    <w:p>
      <w:pPr>
        <w:pStyle w:val="37"/>
        <w:spacing w:line="360" w:lineRule="auto"/>
        <w:ind w:left="0" w:firstLine="480" w:firstLineChars="200"/>
      </w:pPr>
      <w:r>
        <w:rPr>
          <w:rFonts w:hint="eastAsia"/>
        </w:rPr>
        <w:t>1、在菜单栏选择点击“统计”――“交易统计”。如下图所示：</w:t>
      </w:r>
    </w:p>
    <w:p>
      <w:pPr>
        <w:pStyle w:val="26"/>
        <w:spacing w:line="360" w:lineRule="auto"/>
        <w:ind w:firstLine="280" w:firstLineChars="100"/>
        <w:rPr>
          <w:rFonts w:ascii="宋体" w:hAnsi="宋体" w:eastAsia="宋体" w:cs="宋体"/>
          <w:color w:val="auto"/>
          <w:sz w:val="28"/>
          <w:szCs w:val="28"/>
        </w:rPr>
      </w:pPr>
      <w:r>
        <w:rPr>
          <w:rFonts w:hint="eastAsia" w:ascii="宋体" w:hAnsi="宋体" w:eastAsia="宋体" w:cs="宋体"/>
          <w:sz w:val="28"/>
          <w:szCs w:val="28"/>
        </w:rPr>
        <w:drawing>
          <wp:inline distT="0" distB="0" distL="0" distR="0">
            <wp:extent cx="5274310" cy="1407795"/>
            <wp:effectExtent l="19050" t="0" r="2540" b="0"/>
            <wp:docPr id="5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9"/>
                    <pic:cNvPicPr>
                      <a:picLocks noChangeAspect="1" noChangeArrowheads="1"/>
                    </pic:cNvPicPr>
                  </pic:nvPicPr>
                  <pic:blipFill>
                    <a:blip r:embed="rId48"/>
                    <a:srcRect/>
                    <a:stretch>
                      <a:fillRect/>
                    </a:stretch>
                  </pic:blipFill>
                  <pic:spPr>
                    <a:xfrm>
                      <a:off x="0" y="0"/>
                      <a:ext cx="5274310" cy="140790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图2.5.1-1 交易统计</w:t>
      </w:r>
    </w:p>
    <w:p>
      <w:pPr>
        <w:pStyle w:val="37"/>
        <w:spacing w:line="360" w:lineRule="auto"/>
        <w:ind w:left="0" w:firstLine="480" w:firstLineChars="200"/>
      </w:pPr>
      <w:r>
        <w:rPr>
          <w:rFonts w:hint="eastAsia"/>
        </w:rPr>
        <w:t>2、在上图根据“标的状态”、“成交时间”或“交易类型”查询标的物，对标的物进行有效统计，并可以点击“导出”按钮，导出成Excel文件。</w:t>
      </w:r>
    </w:p>
    <w:p>
      <w:pPr>
        <w:pStyle w:val="4"/>
      </w:pPr>
      <w:bookmarkStart w:id="70" w:name="_Toc29087"/>
      <w:r>
        <w:rPr>
          <w:rFonts w:hint="eastAsia"/>
        </w:rPr>
        <w:t>2.5.2　即时统计</w:t>
      </w:r>
      <w:bookmarkEnd w:id="70"/>
    </w:p>
    <w:p>
      <w:pPr>
        <w:pStyle w:val="37"/>
        <w:spacing w:line="360" w:lineRule="auto"/>
        <w:ind w:left="0" w:firstLine="480" w:firstLineChars="200"/>
      </w:pPr>
      <w:r>
        <w:rPr>
          <w:rFonts w:hint="eastAsia"/>
        </w:rPr>
        <w:t>1、在菜单栏选择点击“统计”――“即时统计”。如下图所示：</w:t>
      </w:r>
    </w:p>
    <w:p>
      <w:pPr>
        <w:pStyle w:val="37"/>
        <w:spacing w:line="360" w:lineRule="auto"/>
        <w:ind w:left="284"/>
      </w:pPr>
      <w:r>
        <w:rPr>
          <w:rFonts w:hint="eastAsia"/>
        </w:rPr>
        <w:drawing>
          <wp:inline distT="0" distB="0" distL="0" distR="0">
            <wp:extent cx="5274310" cy="1561465"/>
            <wp:effectExtent l="19050" t="0" r="2540" b="0"/>
            <wp:docPr id="5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pic:cNvPicPr>
                      <a:picLocks noChangeAspect="1" noChangeArrowheads="1"/>
                    </pic:cNvPicPr>
                  </pic:nvPicPr>
                  <pic:blipFill>
                    <a:blip r:embed="rId49"/>
                    <a:srcRect/>
                    <a:stretch>
                      <a:fillRect/>
                    </a:stretch>
                  </pic:blipFill>
                  <pic:spPr>
                    <a:xfrm>
                      <a:off x="0" y="0"/>
                      <a:ext cx="5274310" cy="156157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图2.5.2-1 </w:t>
      </w:r>
      <w:r>
        <w:rPr>
          <w:rFonts w:hint="eastAsia"/>
        </w:rPr>
        <w:t>即时统计</w:t>
      </w:r>
    </w:p>
    <w:p>
      <w:pPr>
        <w:pStyle w:val="37"/>
        <w:spacing w:line="360" w:lineRule="auto"/>
        <w:ind w:left="0" w:firstLine="480" w:firstLineChars="200"/>
      </w:pPr>
      <w:r>
        <w:rPr>
          <w:rFonts w:hint="eastAsia"/>
        </w:rPr>
        <w:t>2、在上图根据“交易状态”、“成交时间”或“年度选择”查询标的物，对标的物进行有效统计，并可以点击“导出”按钮，导出成Excel文件。</w:t>
      </w:r>
    </w:p>
    <w:p>
      <w:pPr>
        <w:pStyle w:val="4"/>
      </w:pPr>
      <w:bookmarkStart w:id="71" w:name="_Toc7979"/>
      <w:r>
        <w:rPr>
          <w:rFonts w:hint="eastAsia"/>
        </w:rPr>
        <w:t>2.5.3　标的统计查询</w:t>
      </w:r>
      <w:bookmarkEnd w:id="71"/>
    </w:p>
    <w:p>
      <w:pPr>
        <w:pStyle w:val="37"/>
        <w:spacing w:line="360" w:lineRule="auto"/>
        <w:ind w:left="0" w:firstLine="480" w:firstLineChars="200"/>
      </w:pPr>
      <w:r>
        <w:rPr>
          <w:rFonts w:hint="eastAsia"/>
        </w:rPr>
        <w:t>1、在菜单栏选择点击“统计”――“标的统计查询”。如下图所示：</w:t>
      </w:r>
    </w:p>
    <w:p>
      <w:pPr>
        <w:pStyle w:val="26"/>
        <w:spacing w:line="360" w:lineRule="auto"/>
        <w:ind w:firstLine="280" w:firstLineChars="100"/>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541780"/>
            <wp:effectExtent l="19050" t="0" r="2540" b="0"/>
            <wp:docPr id="5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2"/>
                    <pic:cNvPicPr>
                      <a:picLocks noChangeAspect="1" noChangeArrowheads="1"/>
                    </pic:cNvPicPr>
                  </pic:nvPicPr>
                  <pic:blipFill>
                    <a:blip r:embed="rId50"/>
                    <a:srcRect/>
                    <a:stretch>
                      <a:fillRect/>
                    </a:stretch>
                  </pic:blipFill>
                  <pic:spPr>
                    <a:xfrm>
                      <a:off x="0" y="0"/>
                      <a:ext cx="5274310" cy="1542133"/>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图2.5.3-1 </w:t>
      </w:r>
      <w:r>
        <w:rPr>
          <w:rFonts w:hint="eastAsia"/>
        </w:rPr>
        <w:t>标的统计查询</w:t>
      </w:r>
    </w:p>
    <w:p>
      <w:pPr>
        <w:pStyle w:val="37"/>
        <w:spacing w:line="360" w:lineRule="auto"/>
        <w:ind w:left="0" w:firstLine="480" w:firstLineChars="200"/>
      </w:pPr>
      <w:r>
        <w:rPr>
          <w:rFonts w:hint="eastAsia"/>
        </w:rPr>
        <w:t>2、在上图根据”标的编号“、“成交时间”和“标的状态”查询标的物，对标的物进行有效统计，并可以点击“导出报名情况”和“导出网上竞价记录”按钮，导出成PDF文件。</w:t>
      </w:r>
    </w:p>
    <w:p>
      <w:pPr>
        <w:pStyle w:val="3"/>
      </w:pPr>
      <w:bookmarkStart w:id="72" w:name="_Toc22700"/>
      <w:r>
        <w:rPr>
          <w:rFonts w:hint="eastAsia"/>
        </w:rPr>
        <w:t>2.6　竞买人管理</w:t>
      </w:r>
      <w:bookmarkEnd w:id="72"/>
    </w:p>
    <w:p>
      <w:pPr>
        <w:pStyle w:val="4"/>
      </w:pPr>
      <w:bookmarkStart w:id="73" w:name="_Toc746"/>
      <w:r>
        <w:rPr>
          <w:rFonts w:hint="eastAsia"/>
        </w:rPr>
        <w:t>2.6.1　竞买人列表</w:t>
      </w:r>
      <w:bookmarkEnd w:id="73"/>
    </w:p>
    <w:p>
      <w:pPr>
        <w:pStyle w:val="37"/>
        <w:spacing w:line="360" w:lineRule="auto"/>
        <w:ind w:left="0" w:firstLine="480" w:firstLineChars="200"/>
      </w:pPr>
      <w:r>
        <w:rPr>
          <w:rFonts w:hint="eastAsia"/>
        </w:rPr>
        <w:t>1、在菜单栏选择点击“竞买人管理”――“竞买人列表”。如下图所示：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476375"/>
            <wp:effectExtent l="19050" t="0" r="2540" b="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noChangeArrowheads="1"/>
                    </pic:cNvPicPr>
                  </pic:nvPicPr>
                  <pic:blipFill>
                    <a:blip r:embed="rId51"/>
                    <a:srcRect/>
                    <a:stretch>
                      <a:fillRect/>
                    </a:stretch>
                  </pic:blipFill>
                  <pic:spPr>
                    <a:xfrm>
                      <a:off x="0" y="0"/>
                      <a:ext cx="5274354" cy="147638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图2.6.1-1 </w:t>
      </w:r>
      <w:r>
        <w:rPr>
          <w:rFonts w:hint="eastAsia"/>
        </w:rPr>
        <w:t>竞买人列表</w:t>
      </w:r>
    </w:p>
    <w:p>
      <w:pPr>
        <w:pStyle w:val="37"/>
        <w:spacing w:line="360" w:lineRule="auto"/>
        <w:ind w:firstLine="480" w:firstLineChars="200"/>
        <w:rPr>
          <w:rFonts w:ascii="宋体" w:hAnsi="宋体" w:eastAsia="宋体" w:cs="宋体"/>
          <w:color w:val="auto"/>
          <w:sz w:val="28"/>
          <w:szCs w:val="28"/>
        </w:rPr>
      </w:pPr>
      <w:r>
        <w:rPr>
          <w:rFonts w:hint="eastAsia"/>
        </w:rPr>
        <w:t>2、在上图可以对竞买人进行查询和加入黑名单操作，被加入黑名单的竞买人可以登陆系统但不能申请交易。</w:t>
      </w:r>
    </w:p>
    <w:p>
      <w:pPr>
        <w:pStyle w:val="4"/>
      </w:pPr>
      <w:bookmarkStart w:id="74" w:name="_Toc26722"/>
      <w:r>
        <w:rPr>
          <w:rFonts w:hint="eastAsia"/>
        </w:rPr>
        <w:t>2.6.2　黑名单</w:t>
      </w:r>
      <w:bookmarkEnd w:id="74"/>
    </w:p>
    <w:p>
      <w:pPr>
        <w:pStyle w:val="37"/>
        <w:spacing w:line="360" w:lineRule="auto"/>
        <w:ind w:firstLine="480" w:firstLineChars="200"/>
      </w:pPr>
      <w:r>
        <w:rPr>
          <w:rFonts w:hint="eastAsia"/>
        </w:rPr>
        <w:t>1、在菜单栏选择点击“竞买人管理”――“黑名单”。如下图所示：</w:t>
      </w:r>
    </w:p>
    <w:p>
      <w:pPr>
        <w:pStyle w:val="26"/>
        <w:spacing w:line="360" w:lineRule="auto"/>
        <w:rPr>
          <w:rFonts w:ascii="宋体" w:hAnsi="宋体" w:eastAsia="宋体" w:cs="宋体"/>
          <w:color w:val="auto"/>
          <w:sz w:val="28"/>
          <w:szCs w:val="28"/>
        </w:rPr>
      </w:pPr>
      <w:r>
        <w:rPr>
          <w:rFonts w:ascii="宋体" w:hAnsi="宋体" w:eastAsia="宋体" w:cs="宋体"/>
          <w:sz w:val="28"/>
          <w:szCs w:val="28"/>
        </w:rPr>
        <w:drawing>
          <wp:inline distT="0" distB="0" distL="0" distR="0">
            <wp:extent cx="5274310" cy="1274445"/>
            <wp:effectExtent l="19050" t="0" r="2540" b="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noChangeArrowheads="1"/>
                    </pic:cNvPicPr>
                  </pic:nvPicPr>
                  <pic:blipFill>
                    <a:blip r:embed="rId52"/>
                    <a:srcRect/>
                    <a:stretch>
                      <a:fillRect/>
                    </a:stretch>
                  </pic:blipFill>
                  <pic:spPr>
                    <a:xfrm>
                      <a:off x="0" y="0"/>
                      <a:ext cx="5274310" cy="127458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图2.6.2-1 </w:t>
      </w:r>
      <w:r>
        <w:rPr>
          <w:rFonts w:hint="eastAsia"/>
        </w:rPr>
        <w:t>黑名单</w:t>
      </w:r>
    </w:p>
    <w:p>
      <w:pPr>
        <w:pStyle w:val="37"/>
        <w:spacing w:line="360" w:lineRule="auto"/>
        <w:ind w:firstLine="480" w:firstLineChars="200"/>
      </w:pPr>
      <w:r>
        <w:rPr>
          <w:rFonts w:hint="eastAsia"/>
        </w:rPr>
        <w:t>2、在上图可以对竞买人黑名单进行“查询”、“新增黑名单”、“查看已删除黑名单”、“查看变更历史”、“移出黑名单”和“公布黑名单”操作，被加入黑名单的竞买人可以登陆系统但不能申请交易，如果需要恢复其交易权限必须申请移出黑名单。</w:t>
      </w:r>
    </w:p>
    <w:p>
      <w:pPr>
        <w:pStyle w:val="26"/>
        <w:spacing w:line="360" w:lineRule="auto"/>
        <w:ind w:firstLine="240" w:firstLineChars="100"/>
      </w:pPr>
    </w:p>
    <w:p>
      <w:pPr>
        <w:pStyle w:val="3"/>
      </w:pPr>
      <w:bookmarkStart w:id="75" w:name="_Toc4626"/>
      <w:r>
        <w:rPr>
          <w:rFonts w:hint="eastAsia"/>
        </w:rPr>
        <w:t>2.7　保证金</w:t>
      </w:r>
      <w:bookmarkEnd w:id="75"/>
    </w:p>
    <w:p>
      <w:pPr>
        <w:pStyle w:val="37"/>
        <w:spacing w:line="360" w:lineRule="auto"/>
        <w:ind w:firstLine="480" w:firstLineChars="200"/>
      </w:pPr>
      <w:r>
        <w:rPr>
          <w:rFonts w:hint="eastAsia"/>
        </w:rPr>
        <w:t xml:space="preserve">1、当录件人员登陆之后，进入交易平台（内部）。如下图所示： </w:t>
      </w:r>
    </w:p>
    <w:p>
      <w:pPr>
        <w:pStyle w:val="26"/>
        <w:spacing w:line="360" w:lineRule="auto"/>
      </w:pPr>
      <w:r>
        <w:drawing>
          <wp:inline distT="0" distB="0" distL="0" distR="0">
            <wp:extent cx="5274310" cy="1828165"/>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3"/>
                    <a:srcRect/>
                    <a:stretch>
                      <a:fillRect/>
                    </a:stretch>
                  </pic:blipFill>
                  <pic:spPr>
                    <a:xfrm>
                      <a:off x="0" y="0"/>
                      <a:ext cx="5274310" cy="182826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 xml:space="preserve">图2.7-1 </w:t>
      </w:r>
      <w:r>
        <w:rPr>
          <w:rFonts w:hint="eastAsia"/>
        </w:rPr>
        <w:t>交易平台（内部）</w:t>
      </w:r>
    </w:p>
    <w:p>
      <w:pPr>
        <w:pStyle w:val="37"/>
        <w:spacing w:line="360" w:lineRule="auto"/>
        <w:ind w:firstLine="480" w:firstLineChars="200"/>
      </w:pPr>
      <w:r>
        <w:rPr>
          <w:rFonts w:hint="eastAsia"/>
        </w:rPr>
        <w:t>2、在上图中，点击“保证金”按钮，进入“保证金管理系统”。如下图所示：</w:t>
      </w:r>
    </w:p>
    <w:p>
      <w:pPr>
        <w:pStyle w:val="26"/>
        <w:spacing w:line="360" w:lineRule="auto"/>
      </w:pPr>
      <w:r>
        <w:rPr>
          <w:rFonts w:hint="eastAsia"/>
        </w:rPr>
        <w:drawing>
          <wp:inline distT="0" distB="0" distL="0" distR="0">
            <wp:extent cx="5274310" cy="2766695"/>
            <wp:effectExtent l="19050" t="0" r="2540" b="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noChangeArrowheads="1"/>
                    </pic:cNvPicPr>
                  </pic:nvPicPr>
                  <pic:blipFill>
                    <a:blip r:embed="rId54"/>
                    <a:srcRect/>
                    <a:stretch>
                      <a:fillRect/>
                    </a:stretch>
                  </pic:blipFill>
                  <pic:spPr>
                    <a:xfrm>
                      <a:off x="0" y="0"/>
                      <a:ext cx="5274310" cy="276702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图2.7-2 </w:t>
      </w:r>
      <w:r>
        <w:rPr>
          <w:rFonts w:hint="eastAsia"/>
        </w:rPr>
        <w:t>保证金管理系统</w:t>
      </w:r>
    </w:p>
    <w:p>
      <w:pPr>
        <w:pStyle w:val="4"/>
      </w:pPr>
      <w:bookmarkStart w:id="76" w:name="_Toc12965"/>
      <w:r>
        <w:rPr>
          <w:rFonts w:hint="eastAsia"/>
        </w:rPr>
        <w:t>2.7.1　土地项目查询</w:t>
      </w:r>
      <w:bookmarkEnd w:id="76"/>
    </w:p>
    <w:p>
      <w:pPr>
        <w:pStyle w:val="37"/>
        <w:spacing w:line="360" w:lineRule="auto"/>
        <w:ind w:left="0" w:firstLine="480" w:firstLineChars="200"/>
      </w:pPr>
      <w:r>
        <w:rPr>
          <w:rFonts w:hint="eastAsia"/>
        </w:rPr>
        <w:t>1、在菜单栏选择点击“项目管理”――“土地项目查询”。如下图所示：</w:t>
      </w:r>
    </w:p>
    <w:p>
      <w:pPr>
        <w:pStyle w:val="26"/>
        <w:spacing w:line="360" w:lineRule="auto"/>
      </w:pPr>
      <w:r>
        <w:drawing>
          <wp:inline distT="0" distB="0" distL="0" distR="0">
            <wp:extent cx="5274310" cy="1797050"/>
            <wp:effectExtent l="19050" t="0" r="254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noChangeArrowheads="1"/>
                    </pic:cNvPicPr>
                  </pic:nvPicPr>
                  <pic:blipFill>
                    <a:blip r:embed="rId55"/>
                    <a:srcRect/>
                    <a:stretch>
                      <a:fillRect/>
                    </a:stretch>
                  </pic:blipFill>
                  <pic:spPr>
                    <a:xfrm>
                      <a:off x="0" y="0"/>
                      <a:ext cx="5274310" cy="179721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图2.7.1-1</w:t>
      </w:r>
      <w:r>
        <w:rPr>
          <w:rFonts w:hint="eastAsia"/>
        </w:rPr>
        <w:t>土地项目查询</w:t>
      </w:r>
    </w:p>
    <w:p>
      <w:pPr>
        <w:pStyle w:val="5"/>
      </w:pPr>
      <w:bookmarkStart w:id="77" w:name="_Toc13369"/>
      <w:r>
        <w:rPr>
          <w:rFonts w:hint="eastAsia"/>
        </w:rPr>
        <w:t>2.7.1.1保证金查看</w:t>
      </w:r>
      <w:bookmarkEnd w:id="77"/>
    </w:p>
    <w:p>
      <w:pPr>
        <w:pStyle w:val="37"/>
        <w:spacing w:line="360" w:lineRule="auto"/>
        <w:ind w:firstLine="480" w:firstLineChars="200"/>
      </w:pPr>
      <w:r>
        <w:rPr>
          <w:rFonts w:hint="eastAsia"/>
        </w:rPr>
        <w:t>1、在上图中，选择要查看保证金的标的，再点击“查看保证金”按钮，进入“项目入帐单列表”界面。如下图所示：</w:t>
      </w:r>
    </w:p>
    <w:p>
      <w:pPr>
        <w:pStyle w:val="26"/>
        <w:spacing w:line="360" w:lineRule="auto"/>
        <w:ind w:firstLine="240" w:firstLineChars="100"/>
      </w:pPr>
      <w:r>
        <w:rPr>
          <w:rFonts w:hint="eastAsia"/>
        </w:rPr>
        <w:drawing>
          <wp:inline distT="0" distB="0" distL="0" distR="0">
            <wp:extent cx="5274310" cy="1473200"/>
            <wp:effectExtent l="19050" t="0" r="2540" b="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pic:cNvPicPr>
                      <a:picLocks noChangeAspect="1" noChangeArrowheads="1"/>
                    </pic:cNvPicPr>
                  </pic:nvPicPr>
                  <pic:blipFill>
                    <a:blip r:embed="rId56"/>
                    <a:srcRect/>
                    <a:stretch>
                      <a:fillRect/>
                    </a:stretch>
                  </pic:blipFill>
                  <pic:spPr>
                    <a:xfrm>
                      <a:off x="0" y="0"/>
                      <a:ext cx="5274310" cy="1473790"/>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图2.7.1.1-1 </w:t>
      </w:r>
      <w:r>
        <w:rPr>
          <w:rFonts w:hint="eastAsia"/>
        </w:rPr>
        <w:t>项目入帐单列表</w:t>
      </w:r>
    </w:p>
    <w:p>
      <w:pPr>
        <w:pStyle w:val="5"/>
      </w:pPr>
      <w:bookmarkStart w:id="78" w:name="_Toc4361"/>
      <w:r>
        <w:rPr>
          <w:rFonts w:hint="eastAsia"/>
        </w:rPr>
        <w:t>2.7.1.2保证金统计</w:t>
      </w:r>
      <w:bookmarkEnd w:id="78"/>
    </w:p>
    <w:p>
      <w:pPr>
        <w:pStyle w:val="37"/>
        <w:spacing w:line="360" w:lineRule="auto"/>
        <w:ind w:firstLine="480" w:firstLineChars="200"/>
      </w:pPr>
      <w:r>
        <w:rPr>
          <w:rFonts w:hint="eastAsia"/>
        </w:rPr>
        <w:t>1、在“土地项目查询”界面中，选择要查看保证金的标的，再点击“保证金统计”按钮，进入“保证金统计报表”界面。如下图所示：</w:t>
      </w:r>
    </w:p>
    <w:p>
      <w:pPr>
        <w:pStyle w:val="26"/>
        <w:spacing w:line="360" w:lineRule="auto"/>
      </w:pPr>
      <w:r>
        <w:drawing>
          <wp:inline distT="0" distB="0" distL="0" distR="0">
            <wp:extent cx="5274310" cy="2453640"/>
            <wp:effectExtent l="19050" t="0" r="2540" b="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noChangeArrowheads="1"/>
                    </pic:cNvPicPr>
                  </pic:nvPicPr>
                  <pic:blipFill>
                    <a:blip r:embed="rId57"/>
                    <a:srcRect/>
                    <a:stretch>
                      <a:fillRect/>
                    </a:stretch>
                  </pic:blipFill>
                  <pic:spPr>
                    <a:xfrm>
                      <a:off x="0" y="0"/>
                      <a:ext cx="5274310" cy="245408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图2.7.1.2-1 </w:t>
      </w:r>
      <w:r>
        <w:rPr>
          <w:rFonts w:hint="eastAsia"/>
        </w:rPr>
        <w:t>保证金统计报表</w:t>
      </w:r>
    </w:p>
    <w:p>
      <w:pPr>
        <w:pStyle w:val="37"/>
        <w:spacing w:line="360" w:lineRule="auto"/>
        <w:ind w:firstLine="480" w:firstLineChars="200"/>
      </w:pPr>
      <w:r>
        <w:rPr>
          <w:rFonts w:hint="eastAsia"/>
        </w:rPr>
        <w:t>2、在“保证金统计报表”界面里，可以打印下载当前标的保证金报表，点击“打印”按钮后，弹出下载打印功能。</w:t>
      </w:r>
    </w:p>
    <w:p>
      <w:pPr>
        <w:pStyle w:val="4"/>
      </w:pPr>
      <w:bookmarkStart w:id="79" w:name="_Toc29604"/>
      <w:r>
        <w:rPr>
          <w:rFonts w:hint="eastAsia"/>
        </w:rPr>
        <w:t>2.7.2　保证金退款申请</w:t>
      </w:r>
      <w:bookmarkEnd w:id="79"/>
    </w:p>
    <w:p>
      <w:pPr>
        <w:pStyle w:val="37"/>
        <w:spacing w:line="360" w:lineRule="auto"/>
        <w:ind w:firstLine="480" w:firstLineChars="200"/>
      </w:pPr>
      <w:r>
        <w:rPr>
          <w:rFonts w:hint="eastAsia"/>
        </w:rPr>
        <w:t>1、在菜单栏选择点击“项目管理”――“土地项目查询”。如下图所示：</w:t>
      </w:r>
    </w:p>
    <w:p>
      <w:pPr>
        <w:pStyle w:val="26"/>
        <w:spacing w:line="360" w:lineRule="auto"/>
      </w:pPr>
      <w:r>
        <w:drawing>
          <wp:inline distT="0" distB="0" distL="0" distR="0">
            <wp:extent cx="5274310" cy="1797050"/>
            <wp:effectExtent l="19050" t="0" r="254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noChangeArrowheads="1"/>
                    </pic:cNvPicPr>
                  </pic:nvPicPr>
                  <pic:blipFill>
                    <a:blip r:embed="rId55"/>
                    <a:srcRect/>
                    <a:stretch>
                      <a:fillRect/>
                    </a:stretch>
                  </pic:blipFill>
                  <pic:spPr>
                    <a:xfrm>
                      <a:off x="0" y="0"/>
                      <a:ext cx="5274310" cy="1797212"/>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图2.7.2-1</w:t>
      </w:r>
      <w:r>
        <w:rPr>
          <w:rFonts w:hint="eastAsia"/>
        </w:rPr>
        <w:t xml:space="preserve"> 土地项目查询</w:t>
      </w:r>
    </w:p>
    <w:p>
      <w:pPr>
        <w:pStyle w:val="37"/>
        <w:spacing w:line="360" w:lineRule="auto"/>
        <w:ind w:firstLine="480" w:firstLineChars="200"/>
      </w:pPr>
      <w:r>
        <w:rPr>
          <w:rFonts w:hint="eastAsia"/>
        </w:rPr>
        <w:t>2、在“土地项目查询”界面中，选择将要退保证金的标的物，再点击“退款申请”按钮，进入“退款申请”界面。如下图所示：</w:t>
      </w:r>
    </w:p>
    <w:p>
      <w:pPr>
        <w:pStyle w:val="26"/>
        <w:spacing w:line="360" w:lineRule="auto"/>
      </w:pPr>
      <w:r>
        <w:drawing>
          <wp:inline distT="0" distB="0" distL="0" distR="0">
            <wp:extent cx="5274310" cy="2434590"/>
            <wp:effectExtent l="19050" t="0" r="2540" b="0"/>
            <wp:docPr id="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
                    <pic:cNvPicPr>
                      <a:picLocks noChangeAspect="1" noChangeArrowheads="1"/>
                    </pic:cNvPicPr>
                  </pic:nvPicPr>
                  <pic:blipFill>
                    <a:blip r:embed="rId58"/>
                    <a:srcRect/>
                    <a:stretch>
                      <a:fillRect/>
                    </a:stretch>
                  </pic:blipFill>
                  <pic:spPr>
                    <a:xfrm>
                      <a:off x="0" y="0"/>
                      <a:ext cx="5274310" cy="2434677"/>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 xml:space="preserve">图2.7.2-2 </w:t>
      </w:r>
      <w:r>
        <w:rPr>
          <w:rFonts w:hint="eastAsia"/>
        </w:rPr>
        <w:t>退款申请</w:t>
      </w:r>
    </w:p>
    <w:p>
      <w:pPr>
        <w:pStyle w:val="37"/>
        <w:spacing w:line="360" w:lineRule="auto"/>
        <w:ind w:firstLine="480" w:firstLineChars="200"/>
      </w:pPr>
      <w:r>
        <w:rPr>
          <w:rFonts w:hint="eastAsia"/>
        </w:rPr>
        <w:t>3、在“退款申请”界面里，填写预退款时间和选择非中标人，点击“保存”按钮，弹出对话框，点“确定”即可，之后“退款申请”界面里，“状态”更改为：退款申请编辑。</w:t>
      </w:r>
    </w:p>
    <w:p>
      <w:pPr>
        <w:pStyle w:val="37"/>
        <w:spacing w:line="360" w:lineRule="auto"/>
        <w:ind w:firstLine="480" w:firstLineChars="200"/>
      </w:pPr>
      <w:r>
        <w:rPr>
          <w:rFonts w:hint="eastAsia"/>
        </w:rPr>
        <w:t>4、在菜单栏选择点击“项目管理”――“退款申请列表”。如下图所示：</w:t>
      </w:r>
    </w:p>
    <w:p>
      <w:pPr>
        <w:pStyle w:val="26"/>
        <w:spacing w:line="360" w:lineRule="auto"/>
      </w:pPr>
      <w:r>
        <w:drawing>
          <wp:inline distT="0" distB="0" distL="0" distR="0">
            <wp:extent cx="5274310" cy="1399540"/>
            <wp:effectExtent l="19050" t="0" r="2540" b="0"/>
            <wp:docPr id="8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3"/>
                    <pic:cNvPicPr>
                      <a:picLocks noChangeAspect="1" noChangeArrowheads="1"/>
                    </pic:cNvPicPr>
                  </pic:nvPicPr>
                  <pic:blipFill>
                    <a:blip r:embed="rId59"/>
                    <a:srcRect/>
                    <a:stretch>
                      <a:fillRect/>
                    </a:stretch>
                  </pic:blipFill>
                  <pic:spPr>
                    <a:xfrm>
                      <a:off x="0" y="0"/>
                      <a:ext cx="5274310" cy="1399741"/>
                    </a:xfrm>
                    <a:prstGeom prst="rect">
                      <a:avLst/>
                    </a:prstGeom>
                    <a:noFill/>
                    <a:ln w="9525">
                      <a:noFill/>
                      <a:miter lim="800000"/>
                      <a:headEnd/>
                      <a:tailEnd/>
                    </a:ln>
                  </pic:spPr>
                </pic:pic>
              </a:graphicData>
            </a:graphic>
          </wp:inline>
        </w:drawing>
      </w:r>
    </w:p>
    <w:p>
      <w:pPr>
        <w:pStyle w:val="26"/>
        <w:spacing w:line="360" w:lineRule="auto"/>
        <w:jc w:val="center"/>
      </w:pPr>
      <w:r>
        <w:rPr>
          <w:rFonts w:hint="eastAsia" w:ascii="宋体" w:hAnsi="宋体" w:eastAsia="宋体" w:cs="宋体"/>
          <w:color w:val="auto"/>
        </w:rPr>
        <w:t xml:space="preserve">图2.7.2-4 </w:t>
      </w:r>
      <w:r>
        <w:rPr>
          <w:rFonts w:hint="eastAsia"/>
        </w:rPr>
        <w:t>退款申请列表</w:t>
      </w:r>
    </w:p>
    <w:p>
      <w:pPr>
        <w:pStyle w:val="37"/>
        <w:spacing w:line="360" w:lineRule="auto"/>
        <w:ind w:firstLine="480" w:firstLineChars="200"/>
      </w:pPr>
      <w:r>
        <w:rPr>
          <w:rFonts w:hint="eastAsia"/>
        </w:rPr>
        <w:t>5、在“退款申请列表”界面里，选择将要退款的标的物，再点击“提交财务复核”按钮，由财务进行下一步审核。</w:t>
      </w:r>
    </w:p>
    <w:p>
      <w:pPr>
        <w:pStyle w:val="37"/>
        <w:spacing w:line="360" w:lineRule="auto"/>
        <w:ind w:firstLine="480" w:firstLineChars="200"/>
      </w:pPr>
      <w:r>
        <w:rPr>
          <w:rFonts w:hint="eastAsia"/>
        </w:rPr>
        <w:t>6、“提交财务复核”会弹出对话框，点击“是”、“确定“即可。</w:t>
      </w:r>
    </w:p>
    <w:p>
      <w:pPr>
        <w:pStyle w:val="37"/>
        <w:spacing w:line="360" w:lineRule="auto"/>
        <w:ind w:firstLine="480" w:firstLineChars="200"/>
      </w:pPr>
      <w:r>
        <w:rPr>
          <w:rFonts w:hint="eastAsia"/>
        </w:rPr>
        <w:t>7、“导出退款申请”会将当前标的导出为pdf格式。</w:t>
      </w:r>
    </w:p>
    <w:p>
      <w:pPr>
        <w:pStyle w:val="37"/>
        <w:spacing w:line="360" w:lineRule="auto"/>
        <w:ind w:firstLine="480" w:firstLineChars="200"/>
        <w:rPr>
          <w:rFonts w:ascii="宋体" w:hAnsi="宋体" w:eastAsia="宋体" w:cs="宋体"/>
          <w:color w:val="auto"/>
          <w:sz w:val="28"/>
          <w:szCs w:val="28"/>
        </w:rPr>
      </w:pPr>
      <w:r>
        <w:rPr>
          <w:rFonts w:hint="eastAsia"/>
        </w:rPr>
        <w:t>8、“查看详情”查看此标的退款详细。</w:t>
      </w:r>
    </w:p>
    <w:p>
      <w:pPr>
        <w:pStyle w:val="2"/>
      </w:pPr>
      <w:bookmarkStart w:id="80" w:name="_Toc18331"/>
      <w:r>
        <w:rPr>
          <w:rFonts w:hint="eastAsia"/>
        </w:rPr>
        <w:t>3、审核人员操作指南</w:t>
      </w:r>
      <w:bookmarkEnd w:id="80"/>
    </w:p>
    <w:p>
      <w:pPr>
        <w:pStyle w:val="3"/>
        <w:rPr>
          <w:szCs w:val="28"/>
        </w:rPr>
      </w:pPr>
      <w:bookmarkStart w:id="81" w:name="_Toc25484"/>
      <w:r>
        <w:rPr>
          <w:rFonts w:hint="eastAsia"/>
        </w:rPr>
        <w:t>3.1　</w:t>
      </w:r>
      <w:r>
        <w:rPr>
          <w:rFonts w:hint="eastAsia"/>
          <w:szCs w:val="28"/>
        </w:rPr>
        <w:t>系统访问</w:t>
      </w:r>
      <w:bookmarkEnd w:id="81"/>
    </w:p>
    <w:p>
      <w:pPr>
        <w:pStyle w:val="37"/>
        <w:spacing w:line="360" w:lineRule="auto"/>
        <w:ind w:firstLine="480" w:firstLineChars="200"/>
      </w:pPr>
      <w:r>
        <w:rPr>
          <w:rFonts w:hint="eastAsia"/>
        </w:rPr>
        <w:t>1、通过网址</w:t>
      </w:r>
      <w:r>
        <w:rPr>
          <w:rFonts w:hint="eastAsia"/>
        </w:rPr>
        <w:fldChar w:fldCharType="begin"/>
      </w:r>
      <w:r>
        <w:rPr>
          <w:rFonts w:hint="eastAsia"/>
        </w:rPr>
        <w:instrText xml:space="preserve"> HYPERLINK "http://www.hytudi.com" </w:instrText>
      </w:r>
      <w:r>
        <w:rPr>
          <w:rFonts w:hint="eastAsia"/>
        </w:rPr>
        <w:fldChar w:fldCharType="separate"/>
      </w:r>
      <w:r>
        <w:rPr>
          <w:rStyle w:val="20"/>
          <w:rFonts w:hint="eastAsia"/>
        </w:rPr>
        <w:t>http://www.hytudi.com</w:t>
      </w:r>
      <w:r>
        <w:rPr>
          <w:rFonts w:hint="eastAsia"/>
        </w:rPr>
        <w:fldChar w:fldCharType="end"/>
      </w:r>
      <w:r>
        <w:rPr>
          <w:rFonts w:hint="eastAsia"/>
        </w:rPr>
        <w:t xml:space="preserve"> 自动跳转到首页</w:t>
      </w:r>
    </w:p>
    <w:p>
      <w:pPr>
        <w:pStyle w:val="37"/>
        <w:spacing w:line="360" w:lineRule="auto"/>
        <w:ind w:firstLine="480" w:firstLineChars="200"/>
      </w:pPr>
      <w:r>
        <w:rPr>
          <w:rFonts w:hint="eastAsia"/>
        </w:rPr>
        <w:t>“河源市公共资源交易中心－国土资源网上交易系统”。如下图所示：</w:t>
      </w:r>
      <w:r>
        <w:drawing>
          <wp:inline distT="0" distB="0" distL="114300" distR="114300">
            <wp:extent cx="5271770" cy="2268855"/>
            <wp:effectExtent l="0" t="0" r="5080" b="17145"/>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图3.1-1 公共资源交易门户</w:t>
      </w:r>
    </w:p>
    <w:p>
      <w:pPr>
        <w:pStyle w:val="3"/>
        <w:rPr>
          <w:szCs w:val="28"/>
        </w:rPr>
      </w:pPr>
      <w:bookmarkStart w:id="82" w:name="_Toc26284"/>
      <w:r>
        <w:rPr>
          <w:rFonts w:hint="eastAsia"/>
        </w:rPr>
        <w:t>3.2　</w:t>
      </w:r>
      <w:r>
        <w:rPr>
          <w:rFonts w:hint="eastAsia"/>
          <w:szCs w:val="28"/>
        </w:rPr>
        <w:t>用户登陆</w:t>
      </w:r>
      <w:bookmarkEnd w:id="82"/>
    </w:p>
    <w:p>
      <w:pPr>
        <w:pStyle w:val="26"/>
        <w:numPr>
          <w:ilvl w:val="0"/>
          <w:numId w:val="5"/>
        </w:numPr>
        <w:spacing w:line="360" w:lineRule="auto"/>
        <w:ind w:firstLine="480" w:firstLineChars="200"/>
      </w:pPr>
      <w:r>
        <w:rPr>
          <w:rFonts w:hint="eastAsia"/>
        </w:rPr>
        <w:t>在进行登陆之前，请确保CA已插入相应计算机的USB口，并已正确安装了CA驱动程序。</w:t>
      </w:r>
    </w:p>
    <w:p>
      <w:pPr>
        <w:pStyle w:val="26"/>
        <w:numPr>
          <w:ilvl w:val="0"/>
          <w:numId w:val="5"/>
        </w:numPr>
        <w:spacing w:line="360" w:lineRule="auto"/>
        <w:ind w:firstLine="480" w:firstLineChars="200"/>
      </w:pPr>
      <w:r>
        <w:rPr>
          <w:rFonts w:hint="eastAsia"/>
        </w:rPr>
        <w:t>在上图，点击“管理员登陆”进入“用户登录”界面，选择“GDCA登录”（请使用IE9浏览器或IE9以上浏览器）。如下图所示：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图3.2-2 用户登录页面</w:t>
      </w:r>
    </w:p>
    <w:p>
      <w:pPr>
        <w:pStyle w:val="26"/>
        <w:numPr>
          <w:ilvl w:val="0"/>
          <w:numId w:val="5"/>
        </w:numPr>
        <w:spacing w:line="360" w:lineRule="auto"/>
        <w:ind w:firstLine="480" w:firstLineChars="200"/>
      </w:pPr>
      <w:r>
        <w:rPr>
          <w:rFonts w:hint="eastAsia"/>
        </w:rPr>
        <w:t>在上图中“</w:t>
      </w:r>
      <w:r>
        <w:rPr>
          <w:rFonts w:hint="eastAsia" w:ascii="Calibri" w:hAnsi="Calibri" w:cs="Calibri" w:eastAsiaTheme="minorEastAsia"/>
          <w:color w:val="000000"/>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4905375" cy="1576070"/>
            <wp:effectExtent l="0" t="0" r="0" b="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noChangeArrowheads="1"/>
                    </pic:cNvPicPr>
                  </pic:nvPicPr>
                  <pic:blipFill>
                    <a:blip r:embed="rId9"/>
                    <a:srcRect/>
                    <a:stretch>
                      <a:fillRect/>
                    </a:stretch>
                  </pic:blipFill>
                  <pic:spPr>
                    <a:xfrm>
                      <a:off x="0" y="0"/>
                      <a:ext cx="4912748" cy="1578703"/>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图3.2-3 交易平台（内部）</w:t>
      </w:r>
      <w:r>
        <w:rPr>
          <w:rFonts w:hint="eastAsia" w:ascii="宋体" w:hAnsi="宋体" w:eastAsia="宋体"/>
        </w:rPr>
        <w:t>界面</w:t>
      </w:r>
    </w:p>
    <w:p>
      <w:pPr>
        <w:pStyle w:val="26"/>
        <w:numPr>
          <w:ilvl w:val="0"/>
          <w:numId w:val="5"/>
        </w:numPr>
        <w:spacing w:line="360" w:lineRule="auto"/>
        <w:ind w:firstLine="480" w:firstLineChars="200"/>
      </w:pPr>
      <w:r>
        <w:rPr>
          <w:rFonts w:hint="eastAsia"/>
        </w:rPr>
        <w:t>在上图中（交易平台（内部））界面里，点击“土地交易”按钮，进入“国有建设用地使用权网上交易系统”。如下图所示：</w:t>
      </w:r>
    </w:p>
    <w:p>
      <w:pPr>
        <w:rPr>
          <w:sz w:val="24"/>
          <w:szCs w:val="24"/>
        </w:rPr>
      </w:pPr>
      <w:r>
        <w:drawing>
          <wp:inline distT="0" distB="0" distL="114300" distR="114300">
            <wp:extent cx="5143500" cy="2449195"/>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60"/>
                    <a:stretch>
                      <a:fillRect/>
                    </a:stretch>
                  </pic:blipFill>
                  <pic:spPr>
                    <a:xfrm>
                      <a:off x="0" y="0"/>
                      <a:ext cx="5147198" cy="2451489"/>
                    </a:xfrm>
                    <a:prstGeom prst="rect">
                      <a:avLst/>
                    </a:prstGeom>
                    <a:noFill/>
                    <a:ln w="9525">
                      <a:noFill/>
                    </a:ln>
                  </pic:spPr>
                </pic:pic>
              </a:graphicData>
            </a:graphic>
          </wp:inline>
        </w:drawing>
      </w:r>
    </w:p>
    <w:p>
      <w:pPr>
        <w:pStyle w:val="26"/>
        <w:spacing w:line="360" w:lineRule="auto"/>
        <w:jc w:val="center"/>
      </w:pPr>
      <w:r>
        <w:rPr>
          <w:rFonts w:hint="eastAsia" w:ascii="宋体" w:hAnsi="宋体" w:eastAsia="宋体" w:cs="宋体"/>
          <w:color w:val="auto"/>
        </w:rPr>
        <w:t xml:space="preserve">图3.2-3 </w:t>
      </w:r>
      <w:r>
        <w:rPr>
          <w:rFonts w:hint="eastAsia"/>
        </w:rPr>
        <w:t>国有建设用地使用权网上交易系统</w:t>
      </w:r>
    </w:p>
    <w:p>
      <w:pPr>
        <w:pStyle w:val="26"/>
        <w:numPr>
          <w:ilvl w:val="0"/>
          <w:numId w:val="5"/>
        </w:numPr>
        <w:spacing w:line="360" w:lineRule="auto"/>
        <w:ind w:firstLine="480" w:firstLineChars="200"/>
      </w:pPr>
      <w:r>
        <w:rPr>
          <w:rFonts w:hint="eastAsia"/>
        </w:rPr>
        <w:t>在上图的右上角选择”审核****（土地）“，进入土地审核界面。如下图所示：</w:t>
      </w:r>
    </w:p>
    <w:p>
      <w:pPr>
        <w:rPr>
          <w:sz w:val="24"/>
          <w:szCs w:val="24"/>
        </w:rPr>
      </w:pPr>
      <w:r>
        <w:drawing>
          <wp:inline distT="0" distB="0" distL="114300" distR="114300">
            <wp:extent cx="5264785" cy="2261870"/>
            <wp:effectExtent l="0" t="0" r="12065" b="508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61"/>
                    <a:stretch>
                      <a:fillRect/>
                    </a:stretch>
                  </pic:blipFill>
                  <pic:spPr>
                    <a:xfrm>
                      <a:off x="0" y="0"/>
                      <a:ext cx="5264785" cy="2261870"/>
                    </a:xfrm>
                    <a:prstGeom prst="rect">
                      <a:avLst/>
                    </a:prstGeom>
                    <a:noFill/>
                    <a:ln w="9525">
                      <a:noFill/>
                    </a:ln>
                  </pic:spPr>
                </pic:pic>
              </a:graphicData>
            </a:graphic>
          </wp:inline>
        </w:drawing>
      </w:r>
    </w:p>
    <w:p>
      <w:pPr>
        <w:pStyle w:val="26"/>
        <w:spacing w:line="360" w:lineRule="auto"/>
        <w:jc w:val="center"/>
      </w:pPr>
      <w:r>
        <w:rPr>
          <w:rFonts w:hint="eastAsia" w:ascii="宋体" w:hAnsi="宋体" w:eastAsia="宋体" w:cs="宋体"/>
          <w:color w:val="auto"/>
        </w:rPr>
        <w:t xml:space="preserve">图3.2-4 </w:t>
      </w:r>
      <w:r>
        <w:rPr>
          <w:rFonts w:hint="eastAsia"/>
        </w:rPr>
        <w:t>土地审核角色选择</w:t>
      </w:r>
    </w:p>
    <w:p>
      <w:pPr>
        <w:pStyle w:val="26"/>
        <w:spacing w:line="360" w:lineRule="auto"/>
        <w:jc w:val="center"/>
      </w:pPr>
    </w:p>
    <w:p>
      <w:pPr>
        <w:pStyle w:val="3"/>
      </w:pPr>
      <w:bookmarkStart w:id="83" w:name="_Toc15655"/>
      <w:r>
        <w:rPr>
          <w:rFonts w:hint="eastAsia"/>
        </w:rPr>
        <w:t>3.3　公告管理</w:t>
      </w:r>
      <w:bookmarkEnd w:id="83"/>
    </w:p>
    <w:p>
      <w:pPr>
        <w:pStyle w:val="4"/>
      </w:pPr>
      <w:bookmarkStart w:id="84" w:name="_Toc11284"/>
      <w:r>
        <w:rPr>
          <w:rFonts w:hint="eastAsia"/>
        </w:rPr>
        <w:t>3.3.1　审核公告</w:t>
      </w:r>
      <w:bookmarkEnd w:id="84"/>
    </w:p>
    <w:p>
      <w:pPr>
        <w:pStyle w:val="37"/>
        <w:spacing w:line="360" w:lineRule="auto"/>
        <w:ind w:firstLine="480" w:firstLineChars="200"/>
      </w:pPr>
      <w:r>
        <w:rPr>
          <w:rFonts w:hint="eastAsia"/>
        </w:rPr>
        <w:t>1、在菜单栏选择点击“公告管理”――“审核公告”。如下图所示：</w:t>
      </w:r>
    </w:p>
    <w:p>
      <w:pPr>
        <w:pStyle w:val="37"/>
        <w:spacing w:line="360" w:lineRule="auto"/>
      </w:pPr>
      <w:r>
        <w:drawing>
          <wp:inline distT="0" distB="0" distL="0" distR="0">
            <wp:extent cx="5274310" cy="1096010"/>
            <wp:effectExtent l="19050" t="0" r="254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noChangeArrowheads="1"/>
                    </pic:cNvPicPr>
                  </pic:nvPicPr>
                  <pic:blipFill>
                    <a:blip r:embed="rId62"/>
                    <a:srcRect/>
                    <a:stretch>
                      <a:fillRect/>
                    </a:stretch>
                  </pic:blipFill>
                  <pic:spPr>
                    <a:xfrm>
                      <a:off x="0" y="0"/>
                      <a:ext cx="5274310" cy="1096375"/>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图3.3.1-1 审核公告</w:t>
      </w:r>
    </w:p>
    <w:p>
      <w:pPr>
        <w:pStyle w:val="37"/>
        <w:spacing w:line="360" w:lineRule="auto"/>
        <w:ind w:firstLine="480" w:firstLineChars="200"/>
      </w:pPr>
      <w:r>
        <w:rPr>
          <w:rFonts w:hint="eastAsia"/>
        </w:rPr>
        <w:t>2、在上图选择将要审核的标的物，在选择框打上“</w:t>
      </w:r>
      <w:r>
        <w:rPr>
          <w:rFonts w:hint="eastAsia" w:asciiTheme="minorEastAsia" w:hAnsiTheme="minorEastAsia"/>
        </w:rPr>
        <w:t>√</w:t>
      </w:r>
      <w:r>
        <w:rPr>
          <w:rFonts w:hint="eastAsia"/>
        </w:rPr>
        <w:t>”，然后点击“审核”按钮，进入公告审核界面。如下图所示：</w:t>
      </w:r>
    </w:p>
    <w:p>
      <w:pPr>
        <w:pStyle w:val="26"/>
        <w:spacing w:line="360" w:lineRule="auto"/>
        <w:rPr>
          <w:rFonts w:ascii="宋体" w:hAnsi="宋体" w:eastAsia="宋体"/>
        </w:rPr>
      </w:pPr>
      <w:r>
        <w:rPr>
          <w:rFonts w:hint="eastAsia" w:ascii="宋体" w:hAnsi="宋体" w:eastAsia="宋体"/>
        </w:rPr>
        <w:drawing>
          <wp:inline distT="0" distB="0" distL="0" distR="0">
            <wp:extent cx="5274310" cy="2477770"/>
            <wp:effectExtent l="19050" t="0" r="2540" b="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noChangeArrowheads="1"/>
                    </pic:cNvPicPr>
                  </pic:nvPicPr>
                  <pic:blipFill>
                    <a:blip r:embed="rId63"/>
                    <a:srcRect/>
                    <a:stretch>
                      <a:fillRect/>
                    </a:stretch>
                  </pic:blipFill>
                  <pic:spPr>
                    <a:xfrm>
                      <a:off x="0" y="0"/>
                      <a:ext cx="5274310" cy="2478384"/>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图3.3.1-2 审核公告</w:t>
      </w:r>
    </w:p>
    <w:p>
      <w:pPr>
        <w:pStyle w:val="37"/>
        <w:spacing w:line="360" w:lineRule="auto"/>
        <w:ind w:firstLine="480" w:firstLineChars="200"/>
      </w:pPr>
      <w:r>
        <w:rPr>
          <w:rFonts w:hint="eastAsia"/>
        </w:rPr>
        <w:t>3、在上图中，如果选择审核通过时，“审批”下拉框选择“审核通过”，填写意见，点击“提交”按钮即可；如果选择审核不通过时，“审批”下拉框选择“审核不通过”、“审批节点”下拉框选择要返回的录件人员或审核人员，填写意见，点击“提交”按钮即可（审核不通过时，审批节点默认状态是录件人员）。如下图所示：</w:t>
      </w:r>
    </w:p>
    <w:p>
      <w:pPr>
        <w:pStyle w:val="26"/>
        <w:spacing w:line="360" w:lineRule="auto"/>
        <w:rPr>
          <w:rFonts w:ascii="宋体" w:hAnsi="宋体" w:eastAsia="宋体"/>
        </w:rPr>
      </w:pPr>
      <w:r>
        <w:rPr>
          <w:rFonts w:hint="eastAsia" w:ascii="宋体" w:hAnsi="宋体" w:eastAsia="宋体"/>
        </w:rPr>
        <w:drawing>
          <wp:inline distT="0" distB="0" distL="0" distR="0">
            <wp:extent cx="5274310" cy="2668905"/>
            <wp:effectExtent l="19050" t="0" r="2540" b="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noChangeArrowheads="1"/>
                    </pic:cNvPicPr>
                  </pic:nvPicPr>
                  <pic:blipFill>
                    <a:blip r:embed="rId64"/>
                    <a:srcRect/>
                    <a:stretch>
                      <a:fillRect/>
                    </a:stretch>
                  </pic:blipFill>
                  <pic:spPr>
                    <a:xfrm>
                      <a:off x="0" y="0"/>
                      <a:ext cx="5274310" cy="2668928"/>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图3.3.1-3 公告审核</w:t>
      </w:r>
    </w:p>
    <w:p>
      <w:pPr>
        <w:pStyle w:val="37"/>
        <w:spacing w:line="360" w:lineRule="auto"/>
        <w:ind w:firstLine="480" w:firstLineChars="200"/>
      </w:pPr>
      <w:r>
        <w:rPr>
          <w:rFonts w:hint="eastAsia"/>
        </w:rPr>
        <w:t>4、审核人员审核完标的物后，此标的物自动流入下一个审核人员审核或录件人员发布公告（此处提供短信提醒功能）。</w:t>
      </w:r>
    </w:p>
    <w:p>
      <w:pPr>
        <w:pStyle w:val="2"/>
      </w:pPr>
      <w:bookmarkStart w:id="85" w:name="_Toc491424547"/>
      <w:bookmarkStart w:id="86" w:name="_Toc4709"/>
      <w:r>
        <w:rPr>
          <w:rFonts w:hint="eastAsia"/>
        </w:rPr>
        <w:t>4、财务复核人员操作指南</w:t>
      </w:r>
      <w:bookmarkEnd w:id="85"/>
      <w:bookmarkEnd w:id="86"/>
    </w:p>
    <w:p>
      <w:pPr>
        <w:pStyle w:val="3"/>
        <w:rPr>
          <w:szCs w:val="28"/>
        </w:rPr>
      </w:pPr>
      <w:bookmarkStart w:id="87" w:name="_Toc26516"/>
      <w:bookmarkStart w:id="88" w:name="_Toc491424548"/>
      <w:r>
        <w:rPr>
          <w:rFonts w:hint="eastAsia"/>
        </w:rPr>
        <w:t>4.1　</w:t>
      </w:r>
      <w:r>
        <w:rPr>
          <w:rFonts w:hint="eastAsia"/>
          <w:szCs w:val="28"/>
        </w:rPr>
        <w:t>系统访问</w:t>
      </w:r>
      <w:bookmarkEnd w:id="87"/>
      <w:bookmarkEnd w:id="88"/>
    </w:p>
    <w:p>
      <w:pPr>
        <w:pStyle w:val="26"/>
        <w:spacing w:line="360" w:lineRule="auto"/>
        <w:ind w:firstLine="480" w:firstLineChars="200"/>
        <w:rPr>
          <w:rFonts w:ascii="宋体" w:hAnsi="宋体" w:eastAsia="宋体" w:cs="宋体"/>
          <w:color w:val="auto"/>
        </w:rPr>
      </w:pPr>
      <w:r>
        <w:rPr>
          <w:rFonts w:hint="eastAsia"/>
        </w:rPr>
        <w:t>1、</w:t>
      </w:r>
      <w:r>
        <w:rPr>
          <w:rFonts w:hint="eastAsia" w:ascii="宋体" w:hAnsi="宋体" w:eastAsia="宋体" w:cs="宋体"/>
          <w:color w:val="auto"/>
        </w:rPr>
        <w:t>通过网址</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"http://www.hytudi.com" </w:instrText>
      </w:r>
      <w:r>
        <w:rPr>
          <w:rFonts w:hint="eastAsia" w:ascii="宋体" w:hAnsi="宋体" w:eastAsia="宋体" w:cs="宋体"/>
          <w:color w:val="auto"/>
        </w:rPr>
        <w:fldChar w:fldCharType="separate"/>
      </w:r>
      <w:r>
        <w:rPr>
          <w:rStyle w:val="22"/>
          <w:rFonts w:hint="eastAsia" w:ascii="宋体" w:hAnsi="宋体" w:eastAsia="宋体" w:cs="宋体"/>
        </w:rPr>
        <w:t>http://www.hytudi.com</w:t>
      </w:r>
      <w:r>
        <w:rPr>
          <w:rFonts w:hint="eastAsia" w:ascii="宋体" w:hAnsi="宋体" w:eastAsia="宋体" w:cs="宋体"/>
          <w:color w:val="auto"/>
        </w:rPr>
        <w:fldChar w:fldCharType="end"/>
      </w:r>
      <w:r>
        <w:rPr>
          <w:rFonts w:hint="eastAsia"/>
        </w:rPr>
        <w:t xml:space="preserve"> </w:t>
      </w:r>
      <w:r>
        <w:rPr>
          <w:rFonts w:hint="eastAsia" w:ascii="宋体" w:hAnsi="宋体" w:eastAsia="宋体" w:cs="宋体"/>
          <w:color w:val="auto"/>
        </w:rPr>
        <w:t>自动跳转到首页</w:t>
      </w:r>
    </w:p>
    <w:p>
      <w:pPr>
        <w:pStyle w:val="26"/>
        <w:spacing w:line="360" w:lineRule="auto"/>
        <w:ind w:firstLine="480" w:firstLineChars="200"/>
        <w:rPr>
          <w:rFonts w:ascii="宋体" w:hAnsi="宋体" w:eastAsia="宋体" w:cs="宋体"/>
          <w:color w:val="auto"/>
        </w:rPr>
      </w:pPr>
      <w:r>
        <w:rPr>
          <w:rFonts w:hint="eastAsia" w:ascii="宋体" w:hAnsi="宋体" w:eastAsia="宋体" w:cs="宋体"/>
          <w:color w:val="auto"/>
        </w:rPr>
        <w:t>“河源市公共资源交易中心－国土资源网上交易系统”。如下图所示：</w:t>
      </w:r>
      <w:r>
        <w:drawing>
          <wp:inline distT="0" distB="0" distL="114300" distR="114300">
            <wp:extent cx="5271770" cy="2268855"/>
            <wp:effectExtent l="0" t="0" r="5080" b="17145"/>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图4.1-1 公共资源交易门户</w:t>
      </w:r>
    </w:p>
    <w:p>
      <w:pPr>
        <w:pStyle w:val="3"/>
        <w:rPr>
          <w:szCs w:val="28"/>
        </w:rPr>
      </w:pPr>
      <w:bookmarkStart w:id="89" w:name="_Toc11086"/>
      <w:bookmarkStart w:id="90" w:name="_Toc491424549"/>
      <w:r>
        <w:rPr>
          <w:rFonts w:hint="eastAsia"/>
        </w:rPr>
        <w:t>4.2　</w:t>
      </w:r>
      <w:r>
        <w:rPr>
          <w:rFonts w:hint="eastAsia"/>
          <w:szCs w:val="28"/>
        </w:rPr>
        <w:t>用户登陆</w:t>
      </w:r>
      <w:bookmarkEnd w:id="89"/>
      <w:bookmarkEnd w:id="90"/>
    </w:p>
    <w:p>
      <w:pPr>
        <w:pStyle w:val="26"/>
        <w:spacing w:line="360" w:lineRule="auto"/>
        <w:ind w:firstLine="480" w:firstLineChars="200"/>
      </w:pPr>
      <w:r>
        <w:rPr>
          <w:rFonts w:hint="eastAsia"/>
        </w:rPr>
        <w:t>1、在进行登陆之前，请确保CA已插入相应计算机的USB口，并已正确安装了CA驱动程序。</w:t>
      </w:r>
    </w:p>
    <w:p>
      <w:pPr>
        <w:pStyle w:val="26"/>
        <w:spacing w:line="360" w:lineRule="auto"/>
        <w:ind w:firstLine="480" w:firstLineChars="200"/>
      </w:pPr>
      <w:r>
        <w:rPr>
          <w:rFonts w:hint="eastAsia"/>
        </w:rPr>
        <w:t>2、在上图中，点击“管理员登陆”进入“用户登录”界面，选择“GDCA登录”（请使用IE9浏览器或IE9以上浏览器）。如下图所示：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图4.2-2 用户登录页面</w:t>
      </w:r>
    </w:p>
    <w:p>
      <w:pPr>
        <w:pStyle w:val="26"/>
        <w:spacing w:line="360" w:lineRule="auto"/>
        <w:ind w:firstLine="480" w:firstLineChars="200"/>
      </w:pPr>
      <w:r>
        <w:rPr>
          <w:rFonts w:hint="eastAsia"/>
        </w:rPr>
        <w:t>3、在上图中“</w:t>
      </w:r>
      <w:r>
        <w:rPr>
          <w:rFonts w:hint="eastAsia" w:ascii="Calibri" w:hAnsi="Calibri" w:cs="Calibri" w:eastAsiaTheme="minorEastAsia"/>
          <w:color w:val="000000"/>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73225"/>
            <wp:effectExtent l="19050" t="0" r="2540" b="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noChangeArrowheads="1"/>
                    </pic:cNvPicPr>
                  </pic:nvPicPr>
                  <pic:blipFill>
                    <a:blip r:embed="rId65"/>
                    <a:srcRect/>
                    <a:stretch>
                      <a:fillRect/>
                    </a:stretch>
                  </pic:blipFill>
                  <pic:spPr>
                    <a:xfrm>
                      <a:off x="0" y="0"/>
                      <a:ext cx="5274310" cy="16735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图4.2-3 交易平台（内部）</w:t>
      </w:r>
      <w:r>
        <w:rPr>
          <w:rFonts w:hint="eastAsia" w:ascii="宋体" w:hAnsi="宋体" w:eastAsia="宋体"/>
        </w:rPr>
        <w:t>界面</w:t>
      </w:r>
    </w:p>
    <w:p>
      <w:pPr>
        <w:pStyle w:val="26"/>
        <w:spacing w:line="360" w:lineRule="auto"/>
        <w:ind w:firstLine="480" w:firstLineChars="200"/>
      </w:pPr>
      <w:r>
        <w:rPr>
          <w:rFonts w:hint="eastAsia"/>
        </w:rPr>
        <w:t>4、在上图中“</w:t>
      </w:r>
      <w:r>
        <w:rPr>
          <w:rFonts w:hint="eastAsia" w:ascii="Calibri" w:hAnsi="Calibri" w:cs="Calibri" w:eastAsiaTheme="minorEastAsia"/>
          <w:color w:val="000000"/>
        </w:rPr>
        <w:t>交易平台（内部）</w:t>
      </w:r>
      <w:r>
        <w:rPr>
          <w:rFonts w:hint="eastAsia"/>
        </w:rPr>
        <w:t>”界面，点击“保证金”按钮，进入“保证金管理系统”首页。如下图所示：</w:t>
      </w:r>
    </w:p>
    <w:p>
      <w:pPr>
        <w:pStyle w:val="26"/>
        <w:spacing w:line="360" w:lineRule="auto"/>
        <w:rPr>
          <w:rFonts w:ascii="宋体" w:hAnsi="宋体" w:eastAsia="宋体" w:cs="宋体"/>
          <w:color w:val="auto"/>
        </w:rPr>
      </w:pPr>
      <w:r>
        <w:drawing>
          <wp:inline distT="0" distB="0" distL="0" distR="0">
            <wp:extent cx="5274310" cy="2869565"/>
            <wp:effectExtent l="19050" t="0" r="2540" b="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
                    <pic:cNvPicPr>
                      <a:picLocks noChangeAspect="1" noChangeArrowheads="1"/>
                    </pic:cNvPicPr>
                  </pic:nvPicPr>
                  <pic:blipFill>
                    <a:blip r:embed="rId66"/>
                    <a:srcRect/>
                    <a:stretch>
                      <a:fillRect/>
                    </a:stretch>
                  </pic:blipFill>
                  <pic:spPr>
                    <a:xfrm>
                      <a:off x="0" y="0"/>
                      <a:ext cx="5274310" cy="286960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图4.2-4 保证金管理系统首页</w:t>
      </w:r>
    </w:p>
    <w:p>
      <w:pPr>
        <w:pStyle w:val="26"/>
        <w:spacing w:line="360" w:lineRule="auto"/>
        <w:rPr>
          <w:rFonts w:ascii="宋体" w:hAnsi="宋体" w:eastAsia="宋体" w:cs="宋体"/>
          <w:color w:val="auto"/>
        </w:rPr>
      </w:pPr>
    </w:p>
    <w:p>
      <w:pPr>
        <w:pStyle w:val="3"/>
      </w:pPr>
      <w:bookmarkStart w:id="91" w:name="_Toc17212"/>
      <w:bookmarkStart w:id="92" w:name="_Toc491424550"/>
      <w:r>
        <w:rPr>
          <w:rFonts w:hint="eastAsia"/>
        </w:rPr>
        <w:t>4.3　财务管理</w:t>
      </w:r>
      <w:bookmarkEnd w:id="91"/>
      <w:bookmarkEnd w:id="92"/>
    </w:p>
    <w:p>
      <w:pPr>
        <w:pStyle w:val="4"/>
      </w:pPr>
      <w:bookmarkStart w:id="93" w:name="_Toc2892"/>
      <w:bookmarkStart w:id="94" w:name="_Toc491424551"/>
      <w:r>
        <w:rPr>
          <w:rFonts w:hint="eastAsia"/>
        </w:rPr>
        <w:t>4.3.1　批次退款复核列表</w:t>
      </w:r>
      <w:bookmarkEnd w:id="93"/>
      <w:bookmarkEnd w:id="94"/>
    </w:p>
    <w:p>
      <w:pPr>
        <w:pStyle w:val="26"/>
        <w:spacing w:line="360" w:lineRule="auto"/>
        <w:ind w:firstLine="480" w:firstLineChars="200"/>
      </w:pPr>
      <w:r>
        <w:rPr>
          <w:rFonts w:hint="eastAsia"/>
        </w:rPr>
        <w:t>1、在菜单栏选择点击“财务管理”――“批次退款复核列表”。如下图所示：</w:t>
      </w:r>
    </w:p>
    <w:p>
      <w:pPr>
        <w:pStyle w:val="37"/>
        <w:spacing w:line="360" w:lineRule="auto"/>
      </w:pPr>
      <w:r>
        <w:drawing>
          <wp:inline distT="0" distB="0" distL="0" distR="0">
            <wp:extent cx="5274310" cy="1624965"/>
            <wp:effectExtent l="19050" t="0" r="2540" b="0"/>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
                    <pic:cNvPicPr>
                      <a:picLocks noChangeAspect="1" noChangeArrowheads="1"/>
                    </pic:cNvPicPr>
                  </pic:nvPicPr>
                  <pic:blipFill>
                    <a:blip r:embed="rId67"/>
                    <a:srcRect/>
                    <a:stretch>
                      <a:fillRect/>
                    </a:stretch>
                  </pic:blipFill>
                  <pic:spPr>
                    <a:xfrm>
                      <a:off x="0" y="0"/>
                      <a:ext cx="5274310" cy="162531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图4.3.1-1 批次退款复核列表界面</w:t>
      </w:r>
    </w:p>
    <w:p>
      <w:pPr>
        <w:pStyle w:val="26"/>
        <w:spacing w:line="360" w:lineRule="auto"/>
        <w:ind w:firstLine="480" w:firstLineChars="200"/>
      </w:pPr>
      <w:r>
        <w:rPr>
          <w:rFonts w:hint="eastAsia"/>
        </w:rPr>
        <w:t>2、在上图中“</w:t>
      </w:r>
      <w:r>
        <w:rPr>
          <w:rFonts w:hint="eastAsia" w:ascii="Calibri" w:hAnsi="Calibri" w:eastAsiaTheme="minorEastAsia"/>
        </w:rPr>
        <w:t>批次退款复核列表</w:t>
      </w:r>
      <w:r>
        <w:rPr>
          <w:rFonts w:hint="eastAsia"/>
        </w:rPr>
        <w:t>”界面，选择要审核的退款标的，然后点击“提交财务审核”按钮，进入“退款申请审核”界面。如下图所示：</w:t>
      </w:r>
    </w:p>
    <w:p>
      <w:pPr>
        <w:pStyle w:val="26"/>
        <w:spacing w:line="360" w:lineRule="auto"/>
        <w:rPr>
          <w:rFonts w:ascii="宋体" w:hAnsi="宋体" w:eastAsia="宋体"/>
        </w:rPr>
      </w:pPr>
      <w:r>
        <w:rPr>
          <w:rFonts w:ascii="宋体" w:hAnsi="宋体" w:eastAsia="宋体"/>
        </w:rPr>
        <w:drawing>
          <wp:inline distT="0" distB="0" distL="0" distR="0">
            <wp:extent cx="5274310" cy="2511425"/>
            <wp:effectExtent l="19050" t="0" r="2540" b="0"/>
            <wp:docPr id="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3"/>
                    <pic:cNvPicPr>
                      <a:picLocks noChangeAspect="1" noChangeArrowheads="1"/>
                    </pic:cNvPicPr>
                  </pic:nvPicPr>
                  <pic:blipFill>
                    <a:blip r:embed="rId68"/>
                    <a:srcRect/>
                    <a:stretch>
                      <a:fillRect/>
                    </a:stretch>
                  </pic:blipFill>
                  <pic:spPr>
                    <a:xfrm>
                      <a:off x="0" y="0"/>
                      <a:ext cx="5274310" cy="2511576"/>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rPr>
        <w:t>图4.3.1-2 退款申请审核界面</w:t>
      </w:r>
    </w:p>
    <w:p>
      <w:pPr>
        <w:pStyle w:val="26"/>
        <w:spacing w:line="360" w:lineRule="auto"/>
        <w:ind w:firstLine="480" w:firstLineChars="200"/>
        <w:rPr>
          <w:sz w:val="24"/>
          <w:szCs w:val="24"/>
        </w:rPr>
      </w:pPr>
      <w:r>
        <w:rPr>
          <w:rFonts w:hint="eastAsia"/>
        </w:rPr>
        <w:t>3、在上图中“</w:t>
      </w:r>
      <w:r>
        <w:rPr>
          <w:rFonts w:hint="eastAsia" w:ascii="Calibri" w:hAnsi="Calibri" w:eastAsiaTheme="minorEastAsia"/>
        </w:rPr>
        <w:t>退款申请审核</w:t>
      </w:r>
      <w:r>
        <w:rPr>
          <w:rFonts w:hint="eastAsia"/>
        </w:rPr>
        <w:t>”界面，如果审核通过时，“审批”下拉框选择“审核通过”，填写意见，点击“提交”按钮即可；如果审核不通过时，“审批”下拉框选择“审核不通过”，填写意见，点击“提交”按钮即可。</w:t>
      </w:r>
    </w:p>
    <w:p>
      <w:pPr>
        <w:pStyle w:val="2"/>
      </w:pPr>
      <w:bookmarkStart w:id="95" w:name="_Toc491424552"/>
      <w:bookmarkStart w:id="96" w:name="_Toc6141"/>
      <w:r>
        <w:rPr>
          <w:rFonts w:hint="eastAsia"/>
        </w:rPr>
        <w:t>5、财务审核人员操作指南</w:t>
      </w:r>
      <w:bookmarkEnd w:id="95"/>
      <w:bookmarkEnd w:id="96"/>
    </w:p>
    <w:p>
      <w:pPr>
        <w:pStyle w:val="3"/>
        <w:rPr>
          <w:szCs w:val="28"/>
        </w:rPr>
      </w:pPr>
      <w:bookmarkStart w:id="97" w:name="_Toc17912"/>
      <w:bookmarkStart w:id="98" w:name="_Toc491424553"/>
      <w:r>
        <w:rPr>
          <w:rFonts w:hint="eastAsia"/>
        </w:rPr>
        <w:t>5.1　</w:t>
      </w:r>
      <w:r>
        <w:rPr>
          <w:rFonts w:hint="eastAsia"/>
          <w:szCs w:val="28"/>
        </w:rPr>
        <w:t>系统访问</w:t>
      </w:r>
      <w:bookmarkEnd w:id="97"/>
      <w:bookmarkEnd w:id="98"/>
    </w:p>
    <w:p>
      <w:pPr>
        <w:pStyle w:val="26"/>
        <w:spacing w:line="360" w:lineRule="auto"/>
        <w:ind w:firstLine="480" w:firstLineChars="200"/>
        <w:rPr>
          <w:rFonts w:ascii="Calibri" w:hAnsi="Calibri" w:cs="Calibri" w:eastAsiaTheme="minorEastAsia"/>
          <w:color w:val="000000"/>
        </w:rPr>
      </w:pPr>
      <w:r>
        <w:rPr>
          <w:rFonts w:hint="eastAsia"/>
        </w:rPr>
        <w:t>1、</w:t>
      </w:r>
      <w:r>
        <w:rPr>
          <w:rFonts w:hint="eastAsia" w:ascii="Calibri" w:hAnsi="Calibri" w:cs="Calibri" w:eastAsiaTheme="minorEastAsia"/>
          <w:color w:val="000000"/>
        </w:rPr>
        <w:t>通过网址</w:t>
      </w:r>
      <w:r>
        <w:rPr>
          <w:rFonts w:hint="eastAsia" w:ascii="Calibri" w:hAnsi="Calibri" w:cs="Calibri" w:eastAsiaTheme="minorEastAsia"/>
          <w:color w:val="000000"/>
        </w:rPr>
        <w:fldChar w:fldCharType="begin"/>
      </w:r>
      <w:r>
        <w:rPr>
          <w:rFonts w:hint="eastAsia" w:ascii="Calibri" w:hAnsi="Calibri" w:cs="Calibri" w:eastAsiaTheme="minorEastAsia"/>
          <w:color w:val="000000"/>
        </w:rPr>
        <w:instrText xml:space="preserve"> HYPERLINK "http://www.hytudi.com" </w:instrText>
      </w:r>
      <w:r>
        <w:rPr>
          <w:rFonts w:hint="eastAsia" w:ascii="Calibri" w:hAnsi="Calibri" w:cs="Calibri" w:eastAsiaTheme="minorEastAsia"/>
          <w:color w:val="000000"/>
        </w:rPr>
        <w:fldChar w:fldCharType="separate"/>
      </w:r>
      <w:r>
        <w:rPr>
          <w:rStyle w:val="20"/>
          <w:rFonts w:hint="eastAsia"/>
        </w:rPr>
        <w:t>http://www.hytudi.com</w:t>
      </w:r>
      <w:r>
        <w:rPr>
          <w:rFonts w:hint="eastAsia" w:ascii="Calibri" w:hAnsi="Calibri" w:cs="Calibri" w:eastAsiaTheme="minorEastAsia"/>
          <w:color w:val="000000"/>
        </w:rPr>
        <w:fldChar w:fldCharType="end"/>
      </w:r>
      <w:r>
        <w:rPr>
          <w:rFonts w:hint="eastAsia"/>
        </w:rPr>
        <w:t xml:space="preserve"> </w:t>
      </w:r>
      <w:r>
        <w:rPr>
          <w:rFonts w:hint="eastAsia" w:ascii="Calibri" w:hAnsi="Calibri" w:cs="Calibri" w:eastAsiaTheme="minorEastAsia"/>
          <w:color w:val="000000"/>
        </w:rPr>
        <w:t>自动跳转到首页</w:t>
      </w:r>
    </w:p>
    <w:p>
      <w:pPr>
        <w:pStyle w:val="26"/>
        <w:spacing w:line="360" w:lineRule="auto"/>
        <w:ind w:firstLine="480" w:firstLineChars="200"/>
        <w:rPr>
          <w:rFonts w:ascii="宋体" w:hAnsi="宋体" w:eastAsia="宋体" w:cs="宋体"/>
          <w:color w:val="auto"/>
        </w:rPr>
      </w:pPr>
      <w:r>
        <w:rPr>
          <w:rFonts w:hint="eastAsia" w:ascii="Calibri" w:hAnsi="Calibri" w:cs="Calibri" w:eastAsiaTheme="minorEastAsia"/>
          <w:color w:val="000000"/>
        </w:rPr>
        <w:t>“河源市公共资源交易中心－国土资源网上交易系统”。如下图所示：</w:t>
      </w:r>
      <w:r>
        <w:drawing>
          <wp:inline distT="0" distB="0" distL="114300" distR="114300">
            <wp:extent cx="5271770" cy="2268855"/>
            <wp:effectExtent l="0" t="0" r="5080" b="17145"/>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7"/>
                    <a:stretch>
                      <a:fillRect/>
                    </a:stretch>
                  </pic:blipFill>
                  <pic:spPr>
                    <a:xfrm>
                      <a:off x="0" y="0"/>
                      <a:ext cx="5271770" cy="226885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图5.1-1 公共资源交易门户</w:t>
      </w:r>
    </w:p>
    <w:p>
      <w:pPr>
        <w:pStyle w:val="3"/>
        <w:rPr>
          <w:szCs w:val="28"/>
        </w:rPr>
      </w:pPr>
      <w:bookmarkStart w:id="99" w:name="_Toc491424554"/>
      <w:bookmarkStart w:id="100" w:name="_Toc30672"/>
      <w:r>
        <w:rPr>
          <w:rFonts w:hint="eastAsia"/>
        </w:rPr>
        <w:t>5.2　</w:t>
      </w:r>
      <w:r>
        <w:rPr>
          <w:rFonts w:hint="eastAsia"/>
          <w:szCs w:val="28"/>
        </w:rPr>
        <w:t>用户登陆</w:t>
      </w:r>
      <w:bookmarkEnd w:id="99"/>
      <w:bookmarkEnd w:id="100"/>
    </w:p>
    <w:p>
      <w:pPr>
        <w:pStyle w:val="26"/>
        <w:spacing w:line="360" w:lineRule="auto"/>
        <w:ind w:firstLine="480" w:firstLineChars="200"/>
      </w:pPr>
      <w:r>
        <w:rPr>
          <w:rFonts w:hint="eastAsia"/>
        </w:rPr>
        <w:t>1、在进行登陆之前，请确保CA已插入相应计算机的USB口，并已正确安装了CA驱动程序。</w:t>
      </w:r>
    </w:p>
    <w:p>
      <w:pPr>
        <w:pStyle w:val="26"/>
        <w:spacing w:line="360" w:lineRule="auto"/>
        <w:ind w:firstLine="480" w:firstLineChars="200"/>
      </w:pPr>
      <w:r>
        <w:rPr>
          <w:rFonts w:hint="eastAsia"/>
        </w:rPr>
        <w:t>2、在上图，点击“管理员登陆”进入“用户登录”界面，选择“GDCA登录”（请使用IE9浏览器或IE9以上浏览器）。如下图所示：</w:t>
      </w:r>
    </w:p>
    <w:p>
      <w:pPr>
        <w:pStyle w:val="26"/>
        <w:spacing w:line="360" w:lineRule="auto"/>
        <w:rPr>
          <w:rFonts w:ascii="宋体" w:hAnsi="宋体" w:eastAsia="宋体" w:cs="宋体"/>
          <w:color w:val="auto"/>
        </w:rPr>
      </w:pPr>
      <w:r>
        <w:drawing>
          <wp:inline distT="0" distB="0" distL="114300" distR="114300">
            <wp:extent cx="5265420" cy="2552065"/>
            <wp:effectExtent l="0" t="0" r="11430" b="635"/>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8"/>
                    <a:stretch>
                      <a:fillRect/>
                    </a:stretch>
                  </pic:blipFill>
                  <pic:spPr>
                    <a:xfrm>
                      <a:off x="0" y="0"/>
                      <a:ext cx="5265420" cy="2552065"/>
                    </a:xfrm>
                    <a:prstGeom prst="rect">
                      <a:avLst/>
                    </a:prstGeom>
                    <a:noFill/>
                    <a:ln w="9525">
                      <a:noFill/>
                    </a:ln>
                  </pic:spPr>
                </pic:pic>
              </a:graphicData>
            </a:graphic>
          </wp:inline>
        </w:drawing>
      </w:r>
    </w:p>
    <w:p>
      <w:pPr>
        <w:pStyle w:val="26"/>
        <w:spacing w:line="360" w:lineRule="auto"/>
        <w:jc w:val="center"/>
        <w:rPr>
          <w:rFonts w:ascii="宋体" w:hAnsi="宋体" w:eastAsia="宋体" w:cs="宋体"/>
          <w:color w:val="auto"/>
        </w:rPr>
      </w:pPr>
      <w:r>
        <w:rPr>
          <w:rFonts w:hint="eastAsia" w:ascii="宋体" w:hAnsi="宋体" w:eastAsia="宋体" w:cs="宋体"/>
          <w:color w:val="auto"/>
        </w:rPr>
        <w:t>图5.2-2 用户登录页面</w:t>
      </w:r>
    </w:p>
    <w:p>
      <w:pPr>
        <w:pStyle w:val="26"/>
        <w:spacing w:line="360" w:lineRule="auto"/>
        <w:ind w:firstLine="480" w:firstLineChars="200"/>
      </w:pPr>
      <w:r>
        <w:rPr>
          <w:rFonts w:hint="eastAsia"/>
        </w:rPr>
        <w:t>3、在上图中“</w:t>
      </w:r>
      <w:r>
        <w:rPr>
          <w:rFonts w:hint="eastAsia" w:ascii="Calibri" w:hAnsi="Calibri" w:cs="Calibri" w:eastAsiaTheme="minorEastAsia"/>
          <w:color w:val="000000"/>
        </w:rPr>
        <w:t>用户登录</w:t>
      </w:r>
      <w:r>
        <w:rPr>
          <w:rFonts w:hint="eastAsia"/>
        </w:rPr>
        <w:t xml:space="preserve">”界面，输入密码和验证码，点击“登录”按钮，进入交易平台（内部）。如下图所示： </w:t>
      </w:r>
    </w:p>
    <w:p>
      <w:pPr>
        <w:pStyle w:val="26"/>
        <w:spacing w:line="360" w:lineRule="auto"/>
      </w:pPr>
      <w:r>
        <w:drawing>
          <wp:inline distT="0" distB="0" distL="0" distR="0">
            <wp:extent cx="5274310" cy="1673225"/>
            <wp:effectExtent l="19050" t="0" r="2540" b="0"/>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noChangeArrowheads="1"/>
                    </pic:cNvPicPr>
                  </pic:nvPicPr>
                  <pic:blipFill>
                    <a:blip r:embed="rId65"/>
                    <a:srcRect/>
                    <a:stretch>
                      <a:fillRect/>
                    </a:stretch>
                  </pic:blipFill>
                  <pic:spPr>
                    <a:xfrm>
                      <a:off x="0" y="0"/>
                      <a:ext cx="5274310" cy="167357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图5.2-3 交易平台（内部）</w:t>
      </w:r>
      <w:r>
        <w:rPr>
          <w:rFonts w:hint="eastAsia" w:ascii="宋体" w:hAnsi="宋体" w:eastAsia="宋体"/>
        </w:rPr>
        <w:t>界面</w:t>
      </w:r>
    </w:p>
    <w:p>
      <w:pPr>
        <w:pStyle w:val="26"/>
        <w:spacing w:line="360" w:lineRule="auto"/>
        <w:ind w:firstLine="480" w:firstLineChars="200"/>
      </w:pPr>
      <w:r>
        <w:rPr>
          <w:rFonts w:hint="eastAsia"/>
        </w:rPr>
        <w:t>4、在上图中“</w:t>
      </w:r>
      <w:r>
        <w:rPr>
          <w:rFonts w:hint="eastAsia" w:ascii="Calibri" w:hAnsi="Calibri" w:cs="Calibri" w:eastAsiaTheme="minorEastAsia"/>
          <w:color w:val="000000"/>
        </w:rPr>
        <w:t>交易平台（内部）</w:t>
      </w:r>
      <w:r>
        <w:rPr>
          <w:rFonts w:hint="eastAsia"/>
        </w:rPr>
        <w:t>”界面，点击“保证金”按钮，进入“保证金管理系统”首页。如下图所示：</w:t>
      </w:r>
    </w:p>
    <w:p>
      <w:pPr>
        <w:pStyle w:val="26"/>
        <w:spacing w:line="360" w:lineRule="auto"/>
        <w:rPr>
          <w:rFonts w:ascii="宋体" w:hAnsi="宋体" w:eastAsia="宋体" w:cs="宋体"/>
          <w:color w:val="auto"/>
        </w:rPr>
      </w:pPr>
      <w:r>
        <w:drawing>
          <wp:inline distT="0" distB="0" distL="0" distR="0">
            <wp:extent cx="5274310" cy="2869565"/>
            <wp:effectExtent l="19050" t="0" r="254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
                    <pic:cNvPicPr>
                      <a:picLocks noChangeAspect="1" noChangeArrowheads="1"/>
                    </pic:cNvPicPr>
                  </pic:nvPicPr>
                  <pic:blipFill>
                    <a:blip r:embed="rId66"/>
                    <a:srcRect/>
                    <a:stretch>
                      <a:fillRect/>
                    </a:stretch>
                  </pic:blipFill>
                  <pic:spPr>
                    <a:xfrm>
                      <a:off x="0" y="0"/>
                      <a:ext cx="5274310" cy="2869609"/>
                    </a:xfrm>
                    <a:prstGeom prst="rect">
                      <a:avLst/>
                    </a:prstGeom>
                    <a:noFill/>
                    <a:ln w="9525">
                      <a:noFill/>
                      <a:miter lim="800000"/>
                      <a:headEnd/>
                      <a:tailEnd/>
                    </a:ln>
                  </pic:spPr>
                </pic:pic>
              </a:graphicData>
            </a:graphic>
          </wp:inline>
        </w:drawing>
      </w:r>
    </w:p>
    <w:p>
      <w:pPr>
        <w:pStyle w:val="26"/>
        <w:spacing w:line="360" w:lineRule="auto"/>
        <w:jc w:val="center"/>
        <w:rPr>
          <w:rFonts w:ascii="宋体" w:hAnsi="宋体" w:eastAsia="宋体"/>
        </w:rPr>
      </w:pPr>
      <w:r>
        <w:rPr>
          <w:rFonts w:hint="eastAsia" w:ascii="宋体" w:hAnsi="宋体" w:eastAsia="宋体" w:cs="宋体"/>
          <w:color w:val="auto"/>
        </w:rPr>
        <w:t>图5.2-4 保证金管理系统首页</w:t>
      </w:r>
    </w:p>
    <w:p>
      <w:pPr>
        <w:pStyle w:val="26"/>
        <w:spacing w:line="360" w:lineRule="auto"/>
        <w:rPr>
          <w:rFonts w:ascii="宋体" w:hAnsi="宋体" w:eastAsia="宋体" w:cs="宋体"/>
          <w:color w:val="auto"/>
        </w:rPr>
      </w:pPr>
    </w:p>
    <w:p>
      <w:pPr>
        <w:pStyle w:val="3"/>
      </w:pPr>
      <w:bookmarkStart w:id="101" w:name="_Toc18208"/>
      <w:bookmarkStart w:id="102" w:name="_Toc491424555"/>
      <w:r>
        <w:rPr>
          <w:rFonts w:hint="eastAsia"/>
        </w:rPr>
        <w:t>5.3　财务管理</w:t>
      </w:r>
      <w:bookmarkEnd w:id="101"/>
      <w:bookmarkEnd w:id="102"/>
    </w:p>
    <w:p>
      <w:pPr>
        <w:pStyle w:val="4"/>
      </w:pPr>
      <w:bookmarkStart w:id="103" w:name="_Toc491424556"/>
      <w:bookmarkStart w:id="104" w:name="_Toc8730"/>
      <w:r>
        <w:rPr>
          <w:rFonts w:hint="eastAsia"/>
        </w:rPr>
        <w:t>5.3.1　子转总及销户</w:t>
      </w:r>
      <w:bookmarkEnd w:id="103"/>
      <w:bookmarkEnd w:id="104"/>
    </w:p>
    <w:p>
      <w:pPr>
        <w:pStyle w:val="26"/>
        <w:spacing w:line="360" w:lineRule="auto"/>
        <w:ind w:firstLine="480" w:firstLineChars="200"/>
      </w:pPr>
      <w:r>
        <w:rPr>
          <w:rFonts w:hint="eastAsia"/>
        </w:rPr>
        <w:t>1、在菜单栏选择点击“财务管理”――“子转总及销户”。如下图所示：</w:t>
      </w:r>
    </w:p>
    <w:p>
      <w:pPr>
        <w:pStyle w:val="37"/>
        <w:spacing w:line="360" w:lineRule="auto"/>
        <w:jc w:val="center"/>
      </w:pPr>
      <w:r>
        <w:drawing>
          <wp:anchor distT="0" distB="0" distL="114300" distR="114300" simplePos="0" relativeHeight="251659264" behindDoc="0" locked="0" layoutInCell="1" allowOverlap="1">
            <wp:simplePos x="0" y="0"/>
            <wp:positionH relativeFrom="column">
              <wp:posOffset>19050</wp:posOffset>
            </wp:positionH>
            <wp:positionV relativeFrom="paragraph">
              <wp:posOffset>5715</wp:posOffset>
            </wp:positionV>
            <wp:extent cx="5274310" cy="1590675"/>
            <wp:effectExtent l="19050" t="0" r="2540" b="0"/>
            <wp:wrapTopAndBottom/>
            <wp:docPr id="7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
                    <pic:cNvPicPr>
                      <a:picLocks noChangeAspect="1" noChangeArrowheads="1"/>
                    </pic:cNvPicPr>
                  </pic:nvPicPr>
                  <pic:blipFill>
                    <a:blip r:embed="rId69"/>
                    <a:srcRect/>
                    <a:stretch>
                      <a:fillRect/>
                    </a:stretch>
                  </pic:blipFill>
                  <pic:spPr>
                    <a:xfrm>
                      <a:off x="0" y="0"/>
                      <a:ext cx="5274310" cy="1590675"/>
                    </a:xfrm>
                    <a:prstGeom prst="rect">
                      <a:avLst/>
                    </a:prstGeom>
                    <a:noFill/>
                    <a:ln w="9525">
                      <a:noFill/>
                      <a:miter lim="800000"/>
                      <a:headEnd/>
                      <a:tailEnd/>
                    </a:ln>
                  </pic:spPr>
                </pic:pic>
              </a:graphicData>
            </a:graphic>
          </wp:anchor>
        </w:drawing>
      </w:r>
      <w:r>
        <w:rPr>
          <w:rFonts w:hint="eastAsia"/>
        </w:rPr>
        <w:t>图5.3.1-1 子转总及销户界面</w:t>
      </w:r>
    </w:p>
    <w:p>
      <w:pPr>
        <w:pStyle w:val="26"/>
        <w:numPr>
          <w:ilvl w:val="0"/>
          <w:numId w:val="0"/>
        </w:numPr>
        <w:spacing w:line="360" w:lineRule="auto"/>
        <w:ind w:firstLine="480" w:firstLineChars="200"/>
      </w:pPr>
      <w:r>
        <w:rPr>
          <w:rFonts w:hint="eastAsia"/>
        </w:rPr>
        <w:t>2、此步骤系统会自动完成，手动操作步骤为：在上图中“子转总及销户”界面，选择要子转总帐户的标的，然后点击“转入主帐户”按钮，弹出对话框，点击“确定”即可，如果是要进行销户或单个子帐户转入主帐户，双击标的，进入“标的入帐单列表”界面。如下图所示：</w:t>
      </w:r>
    </w:p>
    <w:p>
      <w:pPr>
        <w:pStyle w:val="26"/>
        <w:spacing w:line="360" w:lineRule="auto"/>
        <w:jc w:val="center"/>
      </w:pPr>
      <w:r>
        <w:rPr>
          <w:rFonts w:hint="eastAsia"/>
        </w:rPr>
        <w:drawing>
          <wp:anchor distT="0" distB="0" distL="114935" distR="114935" simplePos="0" relativeHeight="251662336" behindDoc="0" locked="0" layoutInCell="1" allowOverlap="1">
            <wp:simplePos x="0" y="0"/>
            <wp:positionH relativeFrom="column">
              <wp:posOffset>-6985</wp:posOffset>
            </wp:positionH>
            <wp:positionV relativeFrom="paragraph">
              <wp:posOffset>-8251190</wp:posOffset>
            </wp:positionV>
            <wp:extent cx="5274310" cy="1762125"/>
            <wp:effectExtent l="0" t="0" r="2540" b="9525"/>
            <wp:wrapTopAndBottom/>
            <wp:docPr id="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1"/>
                    <pic:cNvPicPr>
                      <a:picLocks noChangeAspect="1" noChangeArrowheads="1"/>
                    </pic:cNvPicPr>
                  </pic:nvPicPr>
                  <pic:blipFill>
                    <a:blip r:embed="rId70"/>
                    <a:srcRect/>
                    <a:stretch>
                      <a:fillRect/>
                    </a:stretch>
                  </pic:blipFill>
                  <pic:spPr>
                    <a:xfrm>
                      <a:off x="0" y="0"/>
                      <a:ext cx="5274310" cy="1762125"/>
                    </a:xfrm>
                    <a:prstGeom prst="rect">
                      <a:avLst/>
                    </a:prstGeom>
                    <a:noFill/>
                    <a:ln w="9525">
                      <a:noFill/>
                      <a:miter lim="800000"/>
                      <a:headEnd/>
                      <a:tailEnd/>
                    </a:ln>
                  </pic:spPr>
                </pic:pic>
              </a:graphicData>
            </a:graphic>
          </wp:anchor>
        </w:drawing>
      </w:r>
      <w:r>
        <w:rPr>
          <w:rFonts w:hint="eastAsia"/>
        </w:rPr>
        <w:t>图5.3.1-2 标的入帐单列表界面</w:t>
      </w:r>
    </w:p>
    <w:p>
      <w:pPr>
        <w:pStyle w:val="26"/>
        <w:spacing w:line="360" w:lineRule="auto"/>
        <w:ind w:firstLine="480" w:firstLineChars="200"/>
      </w:pPr>
      <w:r>
        <w:rPr>
          <w:rFonts w:hint="eastAsia"/>
        </w:rPr>
        <w:t>3、此步骤系统会自动完成，手动操作步骤为：在上图中“标的入帐单列表”界面，选择将要子转总帐户的投标人，然后点击“转入主帐户”按钮，弹出对话框，点击“确定”即可，如果是要进行销户操作，点击“销户”按钮即可。</w:t>
      </w:r>
    </w:p>
    <w:p>
      <w:pPr>
        <w:pStyle w:val="4"/>
      </w:pPr>
      <w:bookmarkStart w:id="105" w:name="_Toc4123"/>
      <w:bookmarkStart w:id="106" w:name="_Toc491424557"/>
      <w:r>
        <w:rPr>
          <w:rFonts w:hint="eastAsia"/>
        </w:rPr>
        <w:t>5.3.2　退款清单</w:t>
      </w:r>
      <w:bookmarkEnd w:id="105"/>
      <w:bookmarkEnd w:id="106"/>
    </w:p>
    <w:p>
      <w:pPr>
        <w:pStyle w:val="26"/>
        <w:spacing w:line="360" w:lineRule="auto"/>
        <w:ind w:firstLine="480" w:firstLineChars="200"/>
      </w:pPr>
      <w:r>
        <w:rPr>
          <w:rFonts w:hint="eastAsia"/>
        </w:rPr>
        <w:t>1、在菜单栏选择点击“财务管理”――“退款清单”。如下图所示：</w:t>
      </w:r>
    </w:p>
    <w:p>
      <w:pPr>
        <w:pStyle w:val="37"/>
        <w:spacing w:line="360" w:lineRule="auto"/>
      </w:pPr>
      <w:r>
        <w:rPr>
          <w:rFonts w:hint="eastAsia"/>
        </w:rPr>
        <w:drawing>
          <wp:inline distT="0" distB="0" distL="0" distR="0">
            <wp:extent cx="5248275" cy="1619250"/>
            <wp:effectExtent l="19050" t="0" r="9525" b="0"/>
            <wp:docPr id="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8"/>
                    <pic:cNvPicPr>
                      <a:picLocks noChangeAspect="1" noChangeArrowheads="1"/>
                    </pic:cNvPicPr>
                  </pic:nvPicPr>
                  <pic:blipFill>
                    <a:blip r:embed="rId71"/>
                    <a:srcRect/>
                    <a:stretch>
                      <a:fillRect/>
                    </a:stretch>
                  </pic:blipFill>
                  <pic:spPr>
                    <a:xfrm>
                      <a:off x="0" y="0"/>
                      <a:ext cx="5248275" cy="1619250"/>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图5.3.2-1 退款清单界面</w:t>
      </w:r>
    </w:p>
    <w:p>
      <w:pPr>
        <w:pStyle w:val="26"/>
        <w:spacing w:line="360" w:lineRule="auto"/>
        <w:ind w:firstLine="480" w:firstLineChars="200"/>
      </w:pPr>
      <w:r>
        <w:rPr>
          <w:rFonts w:hint="eastAsia"/>
        </w:rPr>
        <w:t>2、在上图中“退款清单”界面，选择要退款的标的物，然后点击“发送银行申请退款”按钮，进入“批次退款申请”界面。如下图所示：</w:t>
      </w:r>
    </w:p>
    <w:p>
      <w:pPr>
        <w:pStyle w:val="37"/>
        <w:spacing w:line="360" w:lineRule="auto"/>
      </w:pPr>
      <w:r>
        <w:rPr>
          <w:rFonts w:hint="eastAsia"/>
        </w:rPr>
        <w:drawing>
          <wp:inline distT="0" distB="0" distL="0" distR="0">
            <wp:extent cx="5274310" cy="2654300"/>
            <wp:effectExtent l="19050" t="0" r="2540" b="0"/>
            <wp:docPr id="9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4"/>
                    <pic:cNvPicPr>
                      <a:picLocks noChangeAspect="1" noChangeArrowheads="1"/>
                    </pic:cNvPicPr>
                  </pic:nvPicPr>
                  <pic:blipFill>
                    <a:blip r:embed="rId72"/>
                    <a:srcRect/>
                    <a:stretch>
                      <a:fillRect/>
                    </a:stretch>
                  </pic:blipFill>
                  <pic:spPr>
                    <a:xfrm>
                      <a:off x="0" y="0"/>
                      <a:ext cx="5274310" cy="2654543"/>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图5.3.2-2批次退款申请界面</w:t>
      </w:r>
    </w:p>
    <w:p>
      <w:pPr>
        <w:pStyle w:val="26"/>
        <w:spacing w:line="360" w:lineRule="auto"/>
        <w:ind w:firstLine="480" w:firstLineChars="200"/>
      </w:pPr>
      <w:r>
        <w:rPr>
          <w:rFonts w:hint="eastAsia"/>
        </w:rPr>
        <w:t>3、在上图中“批次退款申请”界面，点击“发送”按钮，可以将此标的物非中标人的保证金进行批量退款，也可以单个退款，点击“发送退款申请”按钮即可。</w:t>
      </w:r>
    </w:p>
    <w:p>
      <w:pPr>
        <w:pStyle w:val="4"/>
      </w:pPr>
      <w:bookmarkStart w:id="107" w:name="_Toc31802"/>
      <w:bookmarkStart w:id="108" w:name="_Toc491424558"/>
      <w:r>
        <w:rPr>
          <w:rFonts w:hint="eastAsia"/>
        </w:rPr>
        <w:t>5.3.3　财务统计</w:t>
      </w:r>
      <w:bookmarkEnd w:id="107"/>
      <w:bookmarkEnd w:id="108"/>
    </w:p>
    <w:p>
      <w:pPr>
        <w:pStyle w:val="26"/>
        <w:spacing w:line="360" w:lineRule="auto"/>
        <w:ind w:firstLine="480" w:firstLineChars="200"/>
      </w:pPr>
      <w:r>
        <w:rPr>
          <w:rFonts w:hint="eastAsia"/>
        </w:rPr>
        <w:t>1、在菜单栏选择点击“财务管理”――“财务统计”。如下图所示：</w:t>
      </w:r>
    </w:p>
    <w:p>
      <w:pPr>
        <w:pStyle w:val="26"/>
        <w:spacing w:line="360" w:lineRule="auto"/>
        <w:rPr>
          <w:sz w:val="28"/>
          <w:szCs w:val="28"/>
        </w:rPr>
      </w:pPr>
      <w:r>
        <w:rPr>
          <w:sz w:val="28"/>
          <w:szCs w:val="28"/>
        </w:rPr>
        <w:drawing>
          <wp:inline distT="0" distB="0" distL="0" distR="0">
            <wp:extent cx="5274310" cy="1360805"/>
            <wp:effectExtent l="19050" t="0" r="2540" b="0"/>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noChangeArrowheads="1"/>
                    </pic:cNvPicPr>
                  </pic:nvPicPr>
                  <pic:blipFill>
                    <a:blip r:embed="rId73"/>
                    <a:srcRect/>
                    <a:stretch>
                      <a:fillRect/>
                    </a:stretch>
                  </pic:blipFill>
                  <pic:spPr>
                    <a:xfrm>
                      <a:off x="0" y="0"/>
                      <a:ext cx="5274310" cy="1361112"/>
                    </a:xfrm>
                    <a:prstGeom prst="rect">
                      <a:avLst/>
                    </a:prstGeom>
                    <a:noFill/>
                    <a:ln w="9525">
                      <a:noFill/>
                      <a:miter lim="800000"/>
                      <a:headEnd/>
                      <a:tailEnd/>
                    </a:ln>
                  </pic:spPr>
                </pic:pic>
              </a:graphicData>
            </a:graphic>
          </wp:inline>
        </w:drawing>
      </w:r>
    </w:p>
    <w:p>
      <w:pPr>
        <w:pStyle w:val="37"/>
        <w:spacing w:line="360" w:lineRule="auto"/>
        <w:jc w:val="center"/>
      </w:pPr>
      <w:r>
        <w:rPr>
          <w:rFonts w:hint="eastAsia"/>
        </w:rPr>
        <w:t>图5.3.3-1财务统计界面</w:t>
      </w:r>
    </w:p>
    <w:p>
      <w:pPr>
        <w:pStyle w:val="26"/>
        <w:spacing w:line="360" w:lineRule="auto"/>
        <w:ind w:firstLine="480" w:firstLineChars="200"/>
        <w:rPr>
          <w:sz w:val="24"/>
          <w:szCs w:val="24"/>
        </w:rPr>
      </w:pPr>
      <w:r>
        <w:rPr>
          <w:rFonts w:hint="eastAsia"/>
        </w:rPr>
        <w:t>2、在上图中“财务统计”界面，可以导出保证金总报表和保证金统计表；保证金总报表是统计保证金总数，保证金统计表是统计每一个帐号退款金额,导出格式均为EXCEL文件.</w:t>
      </w:r>
    </w:p>
    <w:p>
      <w:pPr>
        <w:pStyle w:val="26"/>
        <w:spacing w:line="360" w:lineRule="auto"/>
        <w:ind w:left="644"/>
        <w:rPr>
          <w:sz w:val="28"/>
          <w:szCs w:val="28"/>
        </w:rPr>
      </w:pPr>
    </w:p>
    <w:p>
      <w:pPr>
        <w:pStyle w:val="26"/>
        <w:spacing w:line="360" w:lineRule="auto"/>
        <w:ind w:left="644"/>
        <w:rPr>
          <w:sz w:val="28"/>
          <w:szCs w:val="28"/>
        </w:rPr>
      </w:pPr>
    </w:p>
    <w:sectPr>
      <w:headerReference r:id="rId3" w:type="default"/>
      <w:footerReference r:id="rId4" w:type="default"/>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A0204"/>
    <w:charset w:val="00"/>
    <w:family w:val="roman"/>
    <w:pitch w:val="default"/>
    <w:sig w:usb0="E00002FF" w:usb1="4000045F" w:usb2="00000000" w:usb3="00000000" w:csb0="2000019F" w:csb1="00000000"/>
  </w:font>
  <w:font w:name="Calibri">
    <w:panose1 w:val="020F0502020204030204"/>
    <w:charset w:val="00"/>
    <w:family w:val="swiss"/>
    <w:pitch w:val="default"/>
    <w:sig w:usb0="E00002FF" w:usb1="4000ACFF" w:usb2="00000001" w:usb3="00000000" w:csb0="2000019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9084377"/>
    </w:sdtPr>
    <w:sdtContent>
      <w:p>
        <w:pPr>
          <w:pStyle w:val="13"/>
          <w:jc w:val="center"/>
        </w:pPr>
        <w:r>
          <w:fldChar w:fldCharType="begin"/>
        </w:r>
        <w:r>
          <w:instrText xml:space="preserve">PAGE   \* MERGEFORMAT</w:instrText>
        </w:r>
        <w:r>
          <w:fldChar w:fldCharType="separate"/>
        </w:r>
        <w:r>
          <w:rPr>
            <w:lang w:val="zh-CN"/>
          </w:rPr>
          <w:t>39</w:t>
        </w:r>
        <w:r>
          <w:rPr>
            <w:lang w:val="zh-CN"/>
          </w:rPr>
          <w:fldChar w:fldCharType="end"/>
        </w:r>
      </w:p>
    </w:sdtContent>
  </w:sdt>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right"/>
    </w:pPr>
    <w:r>
      <w:rPr>
        <w:rFonts w:hint="eastAsia"/>
      </w:rPr>
      <w:t>深圳市壹平台信息技术有限公司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A095A"/>
    <w:multiLevelType w:val="multilevel"/>
    <w:tmpl w:val="054A095A"/>
    <w:lvl w:ilvl="0" w:tentative="0">
      <w:start w:val="1"/>
      <w:numFmt w:val="decimal"/>
      <w:lvlText w:val="%1、"/>
      <w:lvlJc w:val="left"/>
      <w:pPr>
        <w:ind w:left="786"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59F7E2D4"/>
    <w:multiLevelType w:val="singleLevel"/>
    <w:tmpl w:val="59F7E2D4"/>
    <w:lvl w:ilvl="0" w:tentative="0">
      <w:start w:val="1"/>
      <w:numFmt w:val="decimal"/>
      <w:suff w:val="nothing"/>
      <w:lvlText w:val="%1、"/>
      <w:lvlJc w:val="left"/>
    </w:lvl>
  </w:abstractNum>
  <w:abstractNum w:abstractNumId="2">
    <w:nsid w:val="59F7FBE2"/>
    <w:multiLevelType w:val="singleLevel"/>
    <w:tmpl w:val="59F7FBE2"/>
    <w:lvl w:ilvl="0" w:tentative="0">
      <w:start w:val="1"/>
      <w:numFmt w:val="decimal"/>
      <w:suff w:val="nothing"/>
      <w:lvlText w:val="%1、"/>
      <w:lvlJc w:val="left"/>
    </w:lvl>
  </w:abstractNum>
  <w:abstractNum w:abstractNumId="3">
    <w:nsid w:val="59F8246A"/>
    <w:multiLevelType w:val="singleLevel"/>
    <w:tmpl w:val="59F8246A"/>
    <w:lvl w:ilvl="0" w:tentative="0">
      <w:start w:val="1"/>
      <w:numFmt w:val="decimal"/>
      <w:suff w:val="nothing"/>
      <w:lvlText w:val="%1、"/>
      <w:lvlJc w:val="left"/>
    </w:lvl>
  </w:abstractNum>
  <w:abstractNum w:abstractNumId="4">
    <w:nsid w:val="6B37711E"/>
    <w:multiLevelType w:val="multilevel"/>
    <w:tmpl w:val="6B37711E"/>
    <w:lvl w:ilvl="0" w:tentative="0">
      <w:start w:val="1"/>
      <w:numFmt w:val="decimal"/>
      <w:lvlText w:val="%1、"/>
      <w:lvlJc w:val="left"/>
      <w:pPr>
        <w:ind w:left="644" w:hanging="360"/>
      </w:pPr>
      <w:rPr>
        <w:rFonts w:hint="default"/>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hideSpellingErrors/>
  <w:hideGrammaticalErrors/>
  <w:trackRevisions w:val="1"/>
  <w:documentProtection w:enforcement="0"/>
  <w:defaultTabStop w:val="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EA6AD6"/>
    <w:rsid w:val="00012F00"/>
    <w:rsid w:val="00017742"/>
    <w:rsid w:val="000235E4"/>
    <w:rsid w:val="00026379"/>
    <w:rsid w:val="00034791"/>
    <w:rsid w:val="0004215C"/>
    <w:rsid w:val="00045ED4"/>
    <w:rsid w:val="00052022"/>
    <w:rsid w:val="0007055D"/>
    <w:rsid w:val="0007560E"/>
    <w:rsid w:val="00080D48"/>
    <w:rsid w:val="0008423F"/>
    <w:rsid w:val="000849C6"/>
    <w:rsid w:val="00086549"/>
    <w:rsid w:val="00096B6B"/>
    <w:rsid w:val="000B28F7"/>
    <w:rsid w:val="000C21C0"/>
    <w:rsid w:val="000D6D15"/>
    <w:rsid w:val="000E311A"/>
    <w:rsid w:val="000E4C1A"/>
    <w:rsid w:val="000F0D0D"/>
    <w:rsid w:val="00125EED"/>
    <w:rsid w:val="00143371"/>
    <w:rsid w:val="00144F9C"/>
    <w:rsid w:val="00146B92"/>
    <w:rsid w:val="00150A59"/>
    <w:rsid w:val="00152A87"/>
    <w:rsid w:val="00153732"/>
    <w:rsid w:val="00157830"/>
    <w:rsid w:val="00157FE1"/>
    <w:rsid w:val="00162D29"/>
    <w:rsid w:val="001662DC"/>
    <w:rsid w:val="001707E3"/>
    <w:rsid w:val="0017402A"/>
    <w:rsid w:val="00184623"/>
    <w:rsid w:val="0018759F"/>
    <w:rsid w:val="00191EA6"/>
    <w:rsid w:val="0019252A"/>
    <w:rsid w:val="001975F6"/>
    <w:rsid w:val="001A0E75"/>
    <w:rsid w:val="001A1625"/>
    <w:rsid w:val="001A17BC"/>
    <w:rsid w:val="001A2C9D"/>
    <w:rsid w:val="001B4F46"/>
    <w:rsid w:val="001C3E56"/>
    <w:rsid w:val="001C62F2"/>
    <w:rsid w:val="001D4EF1"/>
    <w:rsid w:val="001D682A"/>
    <w:rsid w:val="001E1B1C"/>
    <w:rsid w:val="00204CC8"/>
    <w:rsid w:val="0021082F"/>
    <w:rsid w:val="00220479"/>
    <w:rsid w:val="002274AF"/>
    <w:rsid w:val="002345AC"/>
    <w:rsid w:val="00234833"/>
    <w:rsid w:val="00235045"/>
    <w:rsid w:val="00242E02"/>
    <w:rsid w:val="002625D0"/>
    <w:rsid w:val="00275A05"/>
    <w:rsid w:val="002830FF"/>
    <w:rsid w:val="0029209B"/>
    <w:rsid w:val="00297263"/>
    <w:rsid w:val="002B50FA"/>
    <w:rsid w:val="002C25D5"/>
    <w:rsid w:val="002C4454"/>
    <w:rsid w:val="002D11EC"/>
    <w:rsid w:val="002D2587"/>
    <w:rsid w:val="002D4BF3"/>
    <w:rsid w:val="002E392F"/>
    <w:rsid w:val="002E3D8F"/>
    <w:rsid w:val="002E4B6A"/>
    <w:rsid w:val="002F6300"/>
    <w:rsid w:val="002F6377"/>
    <w:rsid w:val="002F6665"/>
    <w:rsid w:val="0030368D"/>
    <w:rsid w:val="00311AF6"/>
    <w:rsid w:val="00326771"/>
    <w:rsid w:val="00336CD8"/>
    <w:rsid w:val="00340B00"/>
    <w:rsid w:val="0034165A"/>
    <w:rsid w:val="00345A42"/>
    <w:rsid w:val="003608E5"/>
    <w:rsid w:val="0036776F"/>
    <w:rsid w:val="00372627"/>
    <w:rsid w:val="00375B6D"/>
    <w:rsid w:val="003763AD"/>
    <w:rsid w:val="00381950"/>
    <w:rsid w:val="00386061"/>
    <w:rsid w:val="00391146"/>
    <w:rsid w:val="003A5C6A"/>
    <w:rsid w:val="003B3328"/>
    <w:rsid w:val="003B475C"/>
    <w:rsid w:val="003C6EE7"/>
    <w:rsid w:val="003D5A19"/>
    <w:rsid w:val="003E294E"/>
    <w:rsid w:val="003E3407"/>
    <w:rsid w:val="003F1066"/>
    <w:rsid w:val="0040271B"/>
    <w:rsid w:val="00402B2B"/>
    <w:rsid w:val="00414D9B"/>
    <w:rsid w:val="00414E05"/>
    <w:rsid w:val="00416791"/>
    <w:rsid w:val="0042236C"/>
    <w:rsid w:val="00430805"/>
    <w:rsid w:val="00435752"/>
    <w:rsid w:val="004372A5"/>
    <w:rsid w:val="004433B4"/>
    <w:rsid w:val="0044601B"/>
    <w:rsid w:val="00456D42"/>
    <w:rsid w:val="00460876"/>
    <w:rsid w:val="00462780"/>
    <w:rsid w:val="00464C64"/>
    <w:rsid w:val="00467161"/>
    <w:rsid w:val="00476B9B"/>
    <w:rsid w:val="00483AB8"/>
    <w:rsid w:val="0048426E"/>
    <w:rsid w:val="0049025A"/>
    <w:rsid w:val="004B0C28"/>
    <w:rsid w:val="004C14DD"/>
    <w:rsid w:val="004D75A8"/>
    <w:rsid w:val="004F0374"/>
    <w:rsid w:val="004F430F"/>
    <w:rsid w:val="004F58C3"/>
    <w:rsid w:val="00513FC0"/>
    <w:rsid w:val="0052425A"/>
    <w:rsid w:val="00524B86"/>
    <w:rsid w:val="0052702A"/>
    <w:rsid w:val="00533DD2"/>
    <w:rsid w:val="00541193"/>
    <w:rsid w:val="00542A5A"/>
    <w:rsid w:val="00545711"/>
    <w:rsid w:val="00551710"/>
    <w:rsid w:val="00553B55"/>
    <w:rsid w:val="0056427E"/>
    <w:rsid w:val="0056485C"/>
    <w:rsid w:val="005732AE"/>
    <w:rsid w:val="0058420A"/>
    <w:rsid w:val="0058531E"/>
    <w:rsid w:val="00586377"/>
    <w:rsid w:val="005901F2"/>
    <w:rsid w:val="005A4685"/>
    <w:rsid w:val="005A63E5"/>
    <w:rsid w:val="005B723F"/>
    <w:rsid w:val="005C6F7B"/>
    <w:rsid w:val="005D5353"/>
    <w:rsid w:val="005F2870"/>
    <w:rsid w:val="00602F1A"/>
    <w:rsid w:val="00623E18"/>
    <w:rsid w:val="00631654"/>
    <w:rsid w:val="00635C32"/>
    <w:rsid w:val="00640B54"/>
    <w:rsid w:val="006414A1"/>
    <w:rsid w:val="006435F0"/>
    <w:rsid w:val="00645142"/>
    <w:rsid w:val="006618D2"/>
    <w:rsid w:val="00667BC2"/>
    <w:rsid w:val="00682864"/>
    <w:rsid w:val="00685B0F"/>
    <w:rsid w:val="006935F2"/>
    <w:rsid w:val="00693B41"/>
    <w:rsid w:val="006A0BBC"/>
    <w:rsid w:val="006B144B"/>
    <w:rsid w:val="006B34E7"/>
    <w:rsid w:val="006B500A"/>
    <w:rsid w:val="006B7FB8"/>
    <w:rsid w:val="006C36E9"/>
    <w:rsid w:val="006C53C2"/>
    <w:rsid w:val="00717E0D"/>
    <w:rsid w:val="00730B0E"/>
    <w:rsid w:val="00735BF0"/>
    <w:rsid w:val="00744074"/>
    <w:rsid w:val="00752DAD"/>
    <w:rsid w:val="007564CD"/>
    <w:rsid w:val="007603B4"/>
    <w:rsid w:val="00760B93"/>
    <w:rsid w:val="00774A2E"/>
    <w:rsid w:val="00781E7C"/>
    <w:rsid w:val="00785629"/>
    <w:rsid w:val="007961D1"/>
    <w:rsid w:val="007B42D4"/>
    <w:rsid w:val="007B5511"/>
    <w:rsid w:val="007C25F3"/>
    <w:rsid w:val="007C26A2"/>
    <w:rsid w:val="007D048F"/>
    <w:rsid w:val="007E52D1"/>
    <w:rsid w:val="007E693C"/>
    <w:rsid w:val="007F064F"/>
    <w:rsid w:val="007F750C"/>
    <w:rsid w:val="00806684"/>
    <w:rsid w:val="00811DCF"/>
    <w:rsid w:val="00812839"/>
    <w:rsid w:val="00813F1D"/>
    <w:rsid w:val="00820251"/>
    <w:rsid w:val="008249CD"/>
    <w:rsid w:val="00824F1A"/>
    <w:rsid w:val="00837748"/>
    <w:rsid w:val="00840738"/>
    <w:rsid w:val="00840DFD"/>
    <w:rsid w:val="0084175D"/>
    <w:rsid w:val="008555A7"/>
    <w:rsid w:val="00867F50"/>
    <w:rsid w:val="00875C09"/>
    <w:rsid w:val="00890BA1"/>
    <w:rsid w:val="008A008D"/>
    <w:rsid w:val="008A295B"/>
    <w:rsid w:val="008A5A65"/>
    <w:rsid w:val="008B679A"/>
    <w:rsid w:val="008B6941"/>
    <w:rsid w:val="008C5328"/>
    <w:rsid w:val="008C5DFD"/>
    <w:rsid w:val="008E03EF"/>
    <w:rsid w:val="008F23E2"/>
    <w:rsid w:val="008F38B9"/>
    <w:rsid w:val="008F41CB"/>
    <w:rsid w:val="008F6D0A"/>
    <w:rsid w:val="00917459"/>
    <w:rsid w:val="0092230E"/>
    <w:rsid w:val="00940EC2"/>
    <w:rsid w:val="00945134"/>
    <w:rsid w:val="00953D07"/>
    <w:rsid w:val="009561A6"/>
    <w:rsid w:val="0096234F"/>
    <w:rsid w:val="009662D2"/>
    <w:rsid w:val="00966763"/>
    <w:rsid w:val="00966E65"/>
    <w:rsid w:val="009735B0"/>
    <w:rsid w:val="00976242"/>
    <w:rsid w:val="00987353"/>
    <w:rsid w:val="00990C80"/>
    <w:rsid w:val="009B1ADB"/>
    <w:rsid w:val="009B2739"/>
    <w:rsid w:val="009B2CF3"/>
    <w:rsid w:val="009D2013"/>
    <w:rsid w:val="009D579B"/>
    <w:rsid w:val="009D7113"/>
    <w:rsid w:val="009D7C79"/>
    <w:rsid w:val="009E3BFD"/>
    <w:rsid w:val="009E4265"/>
    <w:rsid w:val="009E6F34"/>
    <w:rsid w:val="00A04597"/>
    <w:rsid w:val="00A24086"/>
    <w:rsid w:val="00A25829"/>
    <w:rsid w:val="00A3234F"/>
    <w:rsid w:val="00A32B64"/>
    <w:rsid w:val="00A56BA3"/>
    <w:rsid w:val="00A658FA"/>
    <w:rsid w:val="00A77A31"/>
    <w:rsid w:val="00A92389"/>
    <w:rsid w:val="00A936A7"/>
    <w:rsid w:val="00AA3EAD"/>
    <w:rsid w:val="00AB1096"/>
    <w:rsid w:val="00AB10FA"/>
    <w:rsid w:val="00AB6FC4"/>
    <w:rsid w:val="00AC0E8D"/>
    <w:rsid w:val="00AE7BD2"/>
    <w:rsid w:val="00AF0B50"/>
    <w:rsid w:val="00B0775F"/>
    <w:rsid w:val="00B10939"/>
    <w:rsid w:val="00B14031"/>
    <w:rsid w:val="00B26558"/>
    <w:rsid w:val="00B32008"/>
    <w:rsid w:val="00B650BA"/>
    <w:rsid w:val="00B6626E"/>
    <w:rsid w:val="00B77C31"/>
    <w:rsid w:val="00B80913"/>
    <w:rsid w:val="00B92414"/>
    <w:rsid w:val="00B97201"/>
    <w:rsid w:val="00BA4268"/>
    <w:rsid w:val="00BB5B91"/>
    <w:rsid w:val="00BC22A0"/>
    <w:rsid w:val="00BC4064"/>
    <w:rsid w:val="00BC59A8"/>
    <w:rsid w:val="00BD054E"/>
    <w:rsid w:val="00BE3E36"/>
    <w:rsid w:val="00BE5BD3"/>
    <w:rsid w:val="00BE64F5"/>
    <w:rsid w:val="00C061E5"/>
    <w:rsid w:val="00C10991"/>
    <w:rsid w:val="00C12C8A"/>
    <w:rsid w:val="00C17427"/>
    <w:rsid w:val="00C21DBE"/>
    <w:rsid w:val="00C33F49"/>
    <w:rsid w:val="00C57A1C"/>
    <w:rsid w:val="00C67FA0"/>
    <w:rsid w:val="00C7076F"/>
    <w:rsid w:val="00C77B3A"/>
    <w:rsid w:val="00C86FFC"/>
    <w:rsid w:val="00C8733E"/>
    <w:rsid w:val="00C90DB4"/>
    <w:rsid w:val="00CA470C"/>
    <w:rsid w:val="00CA4E8A"/>
    <w:rsid w:val="00CA57FA"/>
    <w:rsid w:val="00CC6996"/>
    <w:rsid w:val="00CC701A"/>
    <w:rsid w:val="00CE60EC"/>
    <w:rsid w:val="00D10121"/>
    <w:rsid w:val="00D12214"/>
    <w:rsid w:val="00D30A79"/>
    <w:rsid w:val="00D32547"/>
    <w:rsid w:val="00D3375F"/>
    <w:rsid w:val="00D429FC"/>
    <w:rsid w:val="00DA3557"/>
    <w:rsid w:val="00DA6E6E"/>
    <w:rsid w:val="00DB1684"/>
    <w:rsid w:val="00DB16E1"/>
    <w:rsid w:val="00DB1D03"/>
    <w:rsid w:val="00DC62D1"/>
    <w:rsid w:val="00DE7E05"/>
    <w:rsid w:val="00E26DB2"/>
    <w:rsid w:val="00E33234"/>
    <w:rsid w:val="00E36593"/>
    <w:rsid w:val="00E41D26"/>
    <w:rsid w:val="00E565F8"/>
    <w:rsid w:val="00E56714"/>
    <w:rsid w:val="00E6070D"/>
    <w:rsid w:val="00E65A9D"/>
    <w:rsid w:val="00E77F8D"/>
    <w:rsid w:val="00E917EC"/>
    <w:rsid w:val="00EA2DD2"/>
    <w:rsid w:val="00EA3EE9"/>
    <w:rsid w:val="00EA50E5"/>
    <w:rsid w:val="00EA6AD6"/>
    <w:rsid w:val="00EA7200"/>
    <w:rsid w:val="00EB433C"/>
    <w:rsid w:val="00EC47D2"/>
    <w:rsid w:val="00EC7208"/>
    <w:rsid w:val="00EF339A"/>
    <w:rsid w:val="00EF66CD"/>
    <w:rsid w:val="00EF6974"/>
    <w:rsid w:val="00F041D9"/>
    <w:rsid w:val="00F20D70"/>
    <w:rsid w:val="00F222A5"/>
    <w:rsid w:val="00F2437B"/>
    <w:rsid w:val="00F448B6"/>
    <w:rsid w:val="00F47EC6"/>
    <w:rsid w:val="00F60997"/>
    <w:rsid w:val="00F730FC"/>
    <w:rsid w:val="00F801E1"/>
    <w:rsid w:val="00F82E0E"/>
    <w:rsid w:val="00FB755D"/>
    <w:rsid w:val="00FC2820"/>
    <w:rsid w:val="00FD14AF"/>
    <w:rsid w:val="00FD4E62"/>
    <w:rsid w:val="00FF41AB"/>
    <w:rsid w:val="019473B7"/>
    <w:rsid w:val="0210542E"/>
    <w:rsid w:val="02202FD7"/>
    <w:rsid w:val="02AF77EB"/>
    <w:rsid w:val="0383572E"/>
    <w:rsid w:val="03B86C70"/>
    <w:rsid w:val="0442227E"/>
    <w:rsid w:val="04964482"/>
    <w:rsid w:val="05BB31EF"/>
    <w:rsid w:val="061B0877"/>
    <w:rsid w:val="0636205B"/>
    <w:rsid w:val="084111F0"/>
    <w:rsid w:val="08774D38"/>
    <w:rsid w:val="09C41C8D"/>
    <w:rsid w:val="0A014A48"/>
    <w:rsid w:val="0C0A75CB"/>
    <w:rsid w:val="0DB51442"/>
    <w:rsid w:val="0E0E6C09"/>
    <w:rsid w:val="0F4D6C67"/>
    <w:rsid w:val="0F574661"/>
    <w:rsid w:val="0F8C365F"/>
    <w:rsid w:val="0FE64827"/>
    <w:rsid w:val="119F1198"/>
    <w:rsid w:val="120A32A0"/>
    <w:rsid w:val="131439B6"/>
    <w:rsid w:val="13F805D2"/>
    <w:rsid w:val="14A019BB"/>
    <w:rsid w:val="157A0E1D"/>
    <w:rsid w:val="15F07601"/>
    <w:rsid w:val="162E676B"/>
    <w:rsid w:val="169017E8"/>
    <w:rsid w:val="179F7669"/>
    <w:rsid w:val="18437C07"/>
    <w:rsid w:val="19CA3D9A"/>
    <w:rsid w:val="1AC929E9"/>
    <w:rsid w:val="1C8F66BE"/>
    <w:rsid w:val="1D4637DD"/>
    <w:rsid w:val="1DD005DD"/>
    <w:rsid w:val="1E572409"/>
    <w:rsid w:val="1F8732AA"/>
    <w:rsid w:val="1FA12434"/>
    <w:rsid w:val="1FA8686F"/>
    <w:rsid w:val="20B30945"/>
    <w:rsid w:val="221B3B8D"/>
    <w:rsid w:val="22B412DE"/>
    <w:rsid w:val="23BD7803"/>
    <w:rsid w:val="251045D0"/>
    <w:rsid w:val="269E6C75"/>
    <w:rsid w:val="288D5D35"/>
    <w:rsid w:val="28E26C4E"/>
    <w:rsid w:val="295716AE"/>
    <w:rsid w:val="29F673CB"/>
    <w:rsid w:val="2A905F45"/>
    <w:rsid w:val="2C9C50F9"/>
    <w:rsid w:val="2CB63210"/>
    <w:rsid w:val="2DF40F15"/>
    <w:rsid w:val="2EBA09CE"/>
    <w:rsid w:val="30202E41"/>
    <w:rsid w:val="31026874"/>
    <w:rsid w:val="313D4C5F"/>
    <w:rsid w:val="33480DF9"/>
    <w:rsid w:val="349C0A1F"/>
    <w:rsid w:val="353A5731"/>
    <w:rsid w:val="353D6FED"/>
    <w:rsid w:val="354C4ED0"/>
    <w:rsid w:val="373F4E5B"/>
    <w:rsid w:val="394935CA"/>
    <w:rsid w:val="3AF1100E"/>
    <w:rsid w:val="3B5833EA"/>
    <w:rsid w:val="3B5B42A0"/>
    <w:rsid w:val="3BB60BB8"/>
    <w:rsid w:val="3C1C43BC"/>
    <w:rsid w:val="3C8C4BFE"/>
    <w:rsid w:val="3EFB2697"/>
    <w:rsid w:val="41491A49"/>
    <w:rsid w:val="41544B6C"/>
    <w:rsid w:val="415E619F"/>
    <w:rsid w:val="41925A1F"/>
    <w:rsid w:val="41C83FFC"/>
    <w:rsid w:val="41EC1AF5"/>
    <w:rsid w:val="423927A4"/>
    <w:rsid w:val="4244533B"/>
    <w:rsid w:val="426B5C76"/>
    <w:rsid w:val="428E5325"/>
    <w:rsid w:val="42A76DF9"/>
    <w:rsid w:val="43B34112"/>
    <w:rsid w:val="44203422"/>
    <w:rsid w:val="44711372"/>
    <w:rsid w:val="45652C01"/>
    <w:rsid w:val="4570420D"/>
    <w:rsid w:val="461B0C71"/>
    <w:rsid w:val="468B0C70"/>
    <w:rsid w:val="469E6660"/>
    <w:rsid w:val="46D52BC3"/>
    <w:rsid w:val="479F0ED1"/>
    <w:rsid w:val="47C80BDF"/>
    <w:rsid w:val="480F7200"/>
    <w:rsid w:val="481B1425"/>
    <w:rsid w:val="48CD355A"/>
    <w:rsid w:val="4A4F5545"/>
    <w:rsid w:val="4A7D6F33"/>
    <w:rsid w:val="4B017D03"/>
    <w:rsid w:val="4B8D653E"/>
    <w:rsid w:val="4BF9295A"/>
    <w:rsid w:val="4CAD350E"/>
    <w:rsid w:val="4CD34F83"/>
    <w:rsid w:val="4D353C27"/>
    <w:rsid w:val="4D3D473C"/>
    <w:rsid w:val="4D8E37A7"/>
    <w:rsid w:val="4E380563"/>
    <w:rsid w:val="4F2E68C0"/>
    <w:rsid w:val="513F6C93"/>
    <w:rsid w:val="55FE559E"/>
    <w:rsid w:val="571D2E0E"/>
    <w:rsid w:val="57622EC6"/>
    <w:rsid w:val="579842C2"/>
    <w:rsid w:val="57A36A73"/>
    <w:rsid w:val="57CC5277"/>
    <w:rsid w:val="5A1F2B21"/>
    <w:rsid w:val="5A7C64B7"/>
    <w:rsid w:val="5AA0504A"/>
    <w:rsid w:val="5BFB34EA"/>
    <w:rsid w:val="5C791294"/>
    <w:rsid w:val="5D9654B9"/>
    <w:rsid w:val="5D9714F0"/>
    <w:rsid w:val="5DD87A93"/>
    <w:rsid w:val="5DF56819"/>
    <w:rsid w:val="5E7C2E99"/>
    <w:rsid w:val="5EAD7524"/>
    <w:rsid w:val="5EBE0686"/>
    <w:rsid w:val="5F4106F5"/>
    <w:rsid w:val="5F6E7D1A"/>
    <w:rsid w:val="5F792EFB"/>
    <w:rsid w:val="600331F5"/>
    <w:rsid w:val="6040511A"/>
    <w:rsid w:val="643A30D7"/>
    <w:rsid w:val="645078BC"/>
    <w:rsid w:val="649B2983"/>
    <w:rsid w:val="65403C1F"/>
    <w:rsid w:val="662369D7"/>
    <w:rsid w:val="67E55DBF"/>
    <w:rsid w:val="68574542"/>
    <w:rsid w:val="68B561CC"/>
    <w:rsid w:val="69566D08"/>
    <w:rsid w:val="69F430B6"/>
    <w:rsid w:val="6A2F64F3"/>
    <w:rsid w:val="6A3F64A4"/>
    <w:rsid w:val="6A731E5D"/>
    <w:rsid w:val="6AA50146"/>
    <w:rsid w:val="6BB34C48"/>
    <w:rsid w:val="6BBE06C7"/>
    <w:rsid w:val="6C001047"/>
    <w:rsid w:val="6C6905FF"/>
    <w:rsid w:val="6C7645D1"/>
    <w:rsid w:val="6D750493"/>
    <w:rsid w:val="6DB33B80"/>
    <w:rsid w:val="6DD40A32"/>
    <w:rsid w:val="6E6C5A93"/>
    <w:rsid w:val="6F0E1754"/>
    <w:rsid w:val="6F8F5349"/>
    <w:rsid w:val="715E2AB2"/>
    <w:rsid w:val="71E557F8"/>
    <w:rsid w:val="725C7CF8"/>
    <w:rsid w:val="72692DB8"/>
    <w:rsid w:val="72AA051C"/>
    <w:rsid w:val="72C871E1"/>
    <w:rsid w:val="732D4ECA"/>
    <w:rsid w:val="740355CD"/>
    <w:rsid w:val="761F76F7"/>
    <w:rsid w:val="76726898"/>
    <w:rsid w:val="77513E36"/>
    <w:rsid w:val="78332DBF"/>
    <w:rsid w:val="79AA3609"/>
    <w:rsid w:val="79AE2B0D"/>
    <w:rsid w:val="7B455C3F"/>
    <w:rsid w:val="7DDE3D4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3"/>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0">
    <w:name w:val="Default Paragraph Font"/>
    <w:unhideWhenUsed/>
    <w:uiPriority w:val="1"/>
  </w:style>
  <w:style w:type="table" w:default="1" w:styleId="23">
    <w:name w:val="Normal Table"/>
    <w:unhideWhenUsed/>
    <w:qFormat/>
    <w:uiPriority w:val="99"/>
    <w:tblPr>
      <w:tblLayout w:type="fixed"/>
      <w:tblCellMar>
        <w:top w:w="0" w:type="dxa"/>
        <w:left w:w="108" w:type="dxa"/>
        <w:bottom w:w="0" w:type="dxa"/>
        <w:right w:w="108" w:type="dxa"/>
      </w:tblCellMar>
    </w:tblPr>
  </w:style>
  <w:style w:type="paragraph" w:styleId="6">
    <w:name w:val="toc 7"/>
    <w:basedOn w:val="1"/>
    <w:next w:val="1"/>
    <w:unhideWhenUsed/>
    <w:qFormat/>
    <w:uiPriority w:val="39"/>
    <w:pPr>
      <w:ind w:left="1260"/>
      <w:jc w:val="left"/>
    </w:pPr>
    <w:rPr>
      <w:rFonts w:cstheme="minorHAnsi"/>
      <w:sz w:val="18"/>
      <w:szCs w:val="18"/>
    </w:rPr>
  </w:style>
  <w:style w:type="paragraph" w:styleId="7">
    <w:name w:val="Document Map"/>
    <w:basedOn w:val="1"/>
    <w:link w:val="40"/>
    <w:unhideWhenUsed/>
    <w:qFormat/>
    <w:uiPriority w:val="99"/>
    <w:rPr>
      <w:rFonts w:ascii="宋体" w:eastAsia="宋体"/>
      <w:sz w:val="18"/>
      <w:szCs w:val="18"/>
    </w:rPr>
  </w:style>
  <w:style w:type="paragraph" w:styleId="8">
    <w:name w:val="toc 5"/>
    <w:basedOn w:val="1"/>
    <w:next w:val="1"/>
    <w:unhideWhenUsed/>
    <w:qFormat/>
    <w:uiPriority w:val="39"/>
    <w:pPr>
      <w:ind w:left="840"/>
      <w:jc w:val="left"/>
    </w:pPr>
    <w:rPr>
      <w:rFonts w:cstheme="minorHAnsi"/>
      <w:sz w:val="18"/>
      <w:szCs w:val="18"/>
    </w:rPr>
  </w:style>
  <w:style w:type="paragraph" w:styleId="9">
    <w:name w:val="toc 3"/>
    <w:basedOn w:val="1"/>
    <w:next w:val="1"/>
    <w:unhideWhenUsed/>
    <w:qFormat/>
    <w:uiPriority w:val="39"/>
    <w:pPr>
      <w:ind w:left="420"/>
      <w:jc w:val="left"/>
    </w:pPr>
    <w:rPr>
      <w:rFonts w:eastAsia="宋体" w:cstheme="minorHAnsi"/>
      <w:iCs/>
      <w:sz w:val="24"/>
      <w:szCs w:val="20"/>
    </w:rPr>
  </w:style>
  <w:style w:type="paragraph" w:styleId="10">
    <w:name w:val="toc 8"/>
    <w:basedOn w:val="1"/>
    <w:next w:val="1"/>
    <w:unhideWhenUsed/>
    <w:qFormat/>
    <w:uiPriority w:val="39"/>
    <w:pPr>
      <w:ind w:left="1470"/>
      <w:jc w:val="left"/>
    </w:pPr>
    <w:rPr>
      <w:rFonts w:cstheme="minorHAnsi"/>
      <w:sz w:val="18"/>
      <w:szCs w:val="18"/>
    </w:rPr>
  </w:style>
  <w:style w:type="paragraph" w:styleId="11">
    <w:name w:val="Date"/>
    <w:basedOn w:val="1"/>
    <w:next w:val="1"/>
    <w:link w:val="36"/>
    <w:qFormat/>
    <w:uiPriority w:val="0"/>
    <w:pPr>
      <w:adjustRightInd w:val="0"/>
      <w:spacing w:line="360" w:lineRule="auto"/>
      <w:ind w:left="100"/>
      <w:textAlignment w:val="baseline"/>
    </w:pPr>
    <w:rPr>
      <w:rFonts w:ascii="Times New Roman" w:hAnsi="Times New Roman" w:eastAsia="宋体" w:cs="Times New Roman"/>
      <w:b/>
      <w:sz w:val="28"/>
      <w:szCs w:val="20"/>
    </w:rPr>
  </w:style>
  <w:style w:type="paragraph" w:styleId="12">
    <w:name w:val="Balloon Text"/>
    <w:basedOn w:val="1"/>
    <w:link w:val="27"/>
    <w:unhideWhenUsed/>
    <w:qFormat/>
    <w:uiPriority w:val="99"/>
    <w:rPr>
      <w:sz w:val="18"/>
      <w:szCs w:val="18"/>
    </w:rPr>
  </w:style>
  <w:style w:type="paragraph" w:styleId="13">
    <w:name w:val="footer"/>
    <w:basedOn w:val="1"/>
    <w:link w:val="25"/>
    <w:unhideWhenUsed/>
    <w:qFormat/>
    <w:uiPriority w:val="99"/>
    <w:pPr>
      <w:tabs>
        <w:tab w:val="center" w:pos="4153"/>
        <w:tab w:val="right" w:pos="8306"/>
      </w:tabs>
      <w:snapToGrid w:val="0"/>
      <w:jc w:val="left"/>
    </w:pPr>
    <w:rPr>
      <w:sz w:val="18"/>
      <w:szCs w:val="18"/>
    </w:rPr>
  </w:style>
  <w:style w:type="paragraph" w:styleId="14">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tabs>
        <w:tab w:val="right" w:leader="dot" w:pos="8296"/>
      </w:tabs>
      <w:spacing w:before="120" w:after="120" w:line="360" w:lineRule="auto"/>
      <w:jc w:val="left"/>
    </w:pPr>
    <w:rPr>
      <w:rFonts w:eastAsia="宋体" w:cstheme="minorHAnsi"/>
      <w:bCs/>
      <w:caps/>
      <w:sz w:val="24"/>
      <w:szCs w:val="20"/>
    </w:rPr>
  </w:style>
  <w:style w:type="paragraph" w:styleId="16">
    <w:name w:val="toc 4"/>
    <w:basedOn w:val="1"/>
    <w:next w:val="1"/>
    <w:unhideWhenUsed/>
    <w:qFormat/>
    <w:uiPriority w:val="39"/>
    <w:pPr>
      <w:ind w:left="630"/>
      <w:jc w:val="left"/>
    </w:pPr>
    <w:rPr>
      <w:rFonts w:cstheme="minorHAnsi"/>
      <w:sz w:val="18"/>
      <w:szCs w:val="18"/>
    </w:rPr>
  </w:style>
  <w:style w:type="paragraph" w:styleId="17">
    <w:name w:val="toc 6"/>
    <w:basedOn w:val="1"/>
    <w:next w:val="1"/>
    <w:unhideWhenUsed/>
    <w:qFormat/>
    <w:uiPriority w:val="39"/>
    <w:pPr>
      <w:ind w:left="1050"/>
      <w:jc w:val="left"/>
    </w:pPr>
    <w:rPr>
      <w:rFonts w:cstheme="minorHAnsi"/>
      <w:sz w:val="18"/>
      <w:szCs w:val="18"/>
    </w:rPr>
  </w:style>
  <w:style w:type="paragraph" w:styleId="18">
    <w:name w:val="toc 2"/>
    <w:basedOn w:val="1"/>
    <w:next w:val="1"/>
    <w:unhideWhenUsed/>
    <w:qFormat/>
    <w:uiPriority w:val="39"/>
    <w:pPr>
      <w:ind w:left="210"/>
      <w:jc w:val="left"/>
    </w:pPr>
    <w:rPr>
      <w:rFonts w:eastAsia="宋体" w:cstheme="minorHAnsi"/>
      <w:smallCaps/>
      <w:sz w:val="24"/>
      <w:szCs w:val="20"/>
    </w:rPr>
  </w:style>
  <w:style w:type="paragraph" w:styleId="19">
    <w:name w:val="toc 9"/>
    <w:basedOn w:val="1"/>
    <w:next w:val="1"/>
    <w:unhideWhenUsed/>
    <w:qFormat/>
    <w:uiPriority w:val="39"/>
    <w:pPr>
      <w:ind w:left="1680"/>
      <w:jc w:val="left"/>
    </w:pPr>
    <w:rPr>
      <w:rFonts w:cstheme="minorHAnsi"/>
      <w:sz w:val="18"/>
      <w:szCs w:val="18"/>
    </w:rPr>
  </w:style>
  <w:style w:type="character" w:styleId="21">
    <w:name w:val="FollowedHyperlink"/>
    <w:basedOn w:val="20"/>
    <w:unhideWhenUsed/>
    <w:qFormat/>
    <w:uiPriority w:val="99"/>
    <w:rPr>
      <w:color w:val="800080"/>
      <w:u w:val="single"/>
    </w:rPr>
  </w:style>
  <w:style w:type="character" w:styleId="22">
    <w:name w:val="Hyperlink"/>
    <w:basedOn w:val="20"/>
    <w:unhideWhenUsed/>
    <w:qFormat/>
    <w:uiPriority w:val="99"/>
    <w:rPr>
      <w:color w:val="0000FF" w:themeColor="hyperlink"/>
      <w:u w:val="single"/>
    </w:rPr>
  </w:style>
  <w:style w:type="character" w:customStyle="1" w:styleId="24">
    <w:name w:val="页眉 字符"/>
    <w:basedOn w:val="20"/>
    <w:link w:val="14"/>
    <w:qFormat/>
    <w:uiPriority w:val="99"/>
    <w:rPr>
      <w:sz w:val="18"/>
      <w:szCs w:val="18"/>
    </w:rPr>
  </w:style>
  <w:style w:type="character" w:customStyle="1" w:styleId="25">
    <w:name w:val="页脚 字符"/>
    <w:basedOn w:val="20"/>
    <w:link w:val="13"/>
    <w:qFormat/>
    <w:uiPriority w:val="99"/>
    <w:rPr>
      <w:sz w:val="18"/>
      <w:szCs w:val="18"/>
    </w:rPr>
  </w:style>
  <w:style w:type="paragraph" w:customStyle="1" w:styleId="26">
    <w:name w:val="Default"/>
    <w:link w:val="38"/>
    <w:qFormat/>
    <w:uiPriority w:val="0"/>
    <w:pPr>
      <w:widowControl w:val="0"/>
      <w:autoSpaceDE w:val="0"/>
      <w:autoSpaceDN w:val="0"/>
      <w:adjustRightInd w:val="0"/>
    </w:pPr>
    <w:rPr>
      <w:rFonts w:ascii="Calibri" w:hAnsi="Calibri" w:cs="Calibri" w:eastAsiaTheme="minorEastAsia"/>
      <w:color w:val="000000"/>
      <w:sz w:val="24"/>
      <w:szCs w:val="24"/>
      <w:lang w:val="en-US" w:eastAsia="zh-CN" w:bidi="ar-SA"/>
    </w:rPr>
  </w:style>
  <w:style w:type="character" w:customStyle="1" w:styleId="27">
    <w:name w:val="批注框文本 字符"/>
    <w:basedOn w:val="20"/>
    <w:link w:val="12"/>
    <w:semiHidden/>
    <w:qFormat/>
    <w:uiPriority w:val="99"/>
    <w:rPr>
      <w:sz w:val="18"/>
      <w:szCs w:val="18"/>
    </w:rPr>
  </w:style>
  <w:style w:type="paragraph" w:customStyle="1" w:styleId="28">
    <w:name w:val="列出段落1"/>
    <w:basedOn w:val="1"/>
    <w:qFormat/>
    <w:uiPriority w:val="34"/>
    <w:pPr>
      <w:ind w:firstLine="420" w:firstLineChars="200"/>
    </w:pPr>
  </w:style>
  <w:style w:type="character" w:customStyle="1" w:styleId="29">
    <w:name w:val="标题 2 字符"/>
    <w:basedOn w:val="20"/>
    <w:link w:val="3"/>
    <w:qFormat/>
    <w:uiPriority w:val="9"/>
    <w:rPr>
      <w:rFonts w:asciiTheme="majorHAnsi" w:hAnsiTheme="majorHAnsi" w:eastAsiaTheme="majorEastAsia" w:cstheme="majorBidi"/>
      <w:b/>
      <w:bCs/>
      <w:sz w:val="32"/>
      <w:szCs w:val="32"/>
    </w:rPr>
  </w:style>
  <w:style w:type="character" w:customStyle="1" w:styleId="30">
    <w:name w:val="标题 3 字符"/>
    <w:basedOn w:val="20"/>
    <w:link w:val="4"/>
    <w:qFormat/>
    <w:uiPriority w:val="9"/>
    <w:rPr>
      <w:b/>
      <w:bCs/>
      <w:sz w:val="32"/>
      <w:szCs w:val="32"/>
    </w:rPr>
  </w:style>
  <w:style w:type="character" w:customStyle="1" w:styleId="31">
    <w:name w:val="标题 4 字符"/>
    <w:basedOn w:val="20"/>
    <w:link w:val="5"/>
    <w:qFormat/>
    <w:uiPriority w:val="9"/>
    <w:rPr>
      <w:rFonts w:asciiTheme="majorHAnsi" w:hAnsiTheme="majorHAnsi" w:eastAsiaTheme="majorEastAsia" w:cstheme="majorBidi"/>
      <w:b/>
      <w:bCs/>
      <w:sz w:val="28"/>
      <w:szCs w:val="28"/>
    </w:rPr>
  </w:style>
  <w:style w:type="paragraph" w:customStyle="1" w:styleId="32">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33">
    <w:name w:val="标题 1 字符"/>
    <w:basedOn w:val="20"/>
    <w:link w:val="2"/>
    <w:qFormat/>
    <w:uiPriority w:val="9"/>
    <w:rPr>
      <w:b/>
      <w:bCs/>
      <w:kern w:val="44"/>
      <w:sz w:val="44"/>
      <w:szCs w:val="44"/>
    </w:rPr>
  </w:style>
  <w:style w:type="paragraph" w:customStyle="1" w:styleId="34">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paragraph" w:customStyle="1" w:styleId="35">
    <w:name w:val="标准"/>
    <w:basedOn w:val="1"/>
    <w:qFormat/>
    <w:uiPriority w:val="0"/>
    <w:pPr>
      <w:pBdr>
        <w:bottom w:val="single" w:color="auto" w:sz="6" w:space="1"/>
      </w:pBdr>
      <w:adjustRightInd w:val="0"/>
      <w:spacing w:line="360" w:lineRule="auto"/>
      <w:textAlignment w:val="baseline"/>
    </w:pPr>
    <w:rPr>
      <w:rFonts w:ascii="宋体" w:hAnsi="宋体" w:eastAsia="宋体" w:cs="Times New Roman"/>
      <w:sz w:val="24"/>
      <w:szCs w:val="20"/>
    </w:rPr>
  </w:style>
  <w:style w:type="character" w:customStyle="1" w:styleId="36">
    <w:name w:val="日期 字符"/>
    <w:basedOn w:val="20"/>
    <w:link w:val="11"/>
    <w:qFormat/>
    <w:uiPriority w:val="0"/>
    <w:rPr>
      <w:rFonts w:ascii="Times New Roman" w:hAnsi="Times New Roman" w:eastAsia="宋体" w:cs="Times New Roman"/>
      <w:b/>
      <w:sz w:val="28"/>
      <w:szCs w:val="20"/>
    </w:rPr>
  </w:style>
  <w:style w:type="paragraph" w:customStyle="1" w:styleId="37">
    <w:name w:val="小四"/>
    <w:basedOn w:val="26"/>
    <w:link w:val="39"/>
    <w:qFormat/>
    <w:uiPriority w:val="0"/>
    <w:rPr>
      <w:rFonts w:ascii="宋体" w:hAnsi="宋体" w:eastAsia="宋体" w:cs="宋体"/>
      <w:color w:val="auto"/>
    </w:rPr>
  </w:style>
  <w:style w:type="character" w:customStyle="1" w:styleId="38">
    <w:name w:val="Default Char"/>
    <w:basedOn w:val="20"/>
    <w:link w:val="26"/>
    <w:qFormat/>
    <w:uiPriority w:val="0"/>
    <w:rPr>
      <w:rFonts w:ascii="Calibri" w:hAnsi="Calibri" w:cs="Calibri"/>
      <w:color w:val="000000"/>
      <w:kern w:val="0"/>
      <w:sz w:val="24"/>
      <w:szCs w:val="24"/>
    </w:rPr>
  </w:style>
  <w:style w:type="character" w:customStyle="1" w:styleId="39">
    <w:name w:val="小四 Char"/>
    <w:basedOn w:val="38"/>
    <w:link w:val="37"/>
    <w:qFormat/>
    <w:uiPriority w:val="0"/>
    <w:rPr>
      <w:rFonts w:ascii="宋体" w:hAnsi="宋体" w:eastAsia="宋体" w:cs="宋体"/>
      <w:color w:val="000000"/>
      <w:kern w:val="0"/>
      <w:sz w:val="24"/>
      <w:szCs w:val="24"/>
    </w:rPr>
  </w:style>
  <w:style w:type="character" w:customStyle="1" w:styleId="40">
    <w:name w:val="文档结构图 字符"/>
    <w:basedOn w:val="20"/>
    <w:link w:val="7"/>
    <w:semiHidden/>
    <w:qFormat/>
    <w:uiPriority w:val="99"/>
    <w:rPr>
      <w:rFonts w:ascii="宋体" w:eastAsia="宋体"/>
      <w:sz w:val="18"/>
      <w:szCs w:val="18"/>
    </w:rPr>
  </w:style>
  <w:style w:type="paragraph" w:customStyle="1" w:styleId="41">
    <w:name w:val="无间隔2"/>
    <w:link w:val="42"/>
    <w:qFormat/>
    <w:uiPriority w:val="1"/>
    <w:rPr>
      <w:rFonts w:asciiTheme="minorHAnsi" w:hAnsiTheme="minorHAnsi" w:eastAsiaTheme="minorEastAsia" w:cstheme="minorBidi"/>
      <w:sz w:val="22"/>
      <w:szCs w:val="22"/>
      <w:lang w:val="en-US" w:eastAsia="zh-CN" w:bidi="ar-SA"/>
    </w:rPr>
  </w:style>
  <w:style w:type="character" w:customStyle="1" w:styleId="42">
    <w:name w:val="无间隔 Char"/>
    <w:basedOn w:val="20"/>
    <w:link w:val="41"/>
    <w:qFormat/>
    <w:uiPriority w:val="1"/>
    <w:rPr>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8" Type="http://schemas.openxmlformats.org/officeDocument/2006/relationships/fontTable" Target="fontTable.xml"/><Relationship Id="rId77" Type="http://schemas.openxmlformats.org/officeDocument/2006/relationships/customXml" Target="../customXml/item3.xml"/><Relationship Id="rId76" Type="http://schemas.openxmlformats.org/officeDocument/2006/relationships/customXml" Target="../customXml/item2.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emf"/><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verPageProperties xmlns="http://schemas.microsoft.com/office/2006/coverPageProps">
  <PublishDate>2017-08-22T00:00:00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328C37C-578F-4C2A-A6E5-33464C2EA102}">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39</Pages>
  <Words>1772</Words>
  <Characters>10106</Characters>
  <Lines>84</Lines>
  <Paragraphs>23</Paragraphs>
  <TotalTime>0</TotalTime>
  <ScaleCrop>false</ScaleCrop>
  <LinksUpToDate>false</LinksUpToDate>
  <CharactersWithSpaces>11855</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2015-03-09T06:29:00Z</dcterms:created>
  <dc:creator>刘丰</dc:creator>
  <cp:lastModifiedBy>快乐逍遥</cp:lastModifiedBy>
  <dcterms:modified xsi:type="dcterms:W3CDTF">2017-11-09T03:58:55Z</dcterms:modified>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